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F907" w14:textId="36548A93" w:rsidR="001103B2" w:rsidRPr="009333E6" w:rsidRDefault="009333E6" w:rsidP="009333E6">
      <w:pPr>
        <w:pStyle w:val="Author"/>
        <w:rPr>
          <w:sz w:val="28"/>
        </w:rPr>
      </w:pPr>
      <w:r w:rsidRPr="009333E6">
        <w:rPr>
          <w:sz w:val="28"/>
        </w:rPr>
        <w:t>The Role of Agrotourism in Environmental Sustainability</w:t>
      </w:r>
      <w:r w:rsidRPr="009333E6">
        <w:rPr>
          <w:sz w:val="28"/>
        </w:rPr>
        <w:br/>
        <w:t>(Case Study: Batu City, East Java)</w:t>
      </w:r>
    </w:p>
    <w:p w14:paraId="00E07D98" w14:textId="5139E9F6" w:rsidR="00AC08DA" w:rsidRPr="00923CFA" w:rsidRDefault="00AC08DA" w:rsidP="00B1478F">
      <w:pPr>
        <w:pStyle w:val="Author"/>
        <w:rPr>
          <w:vertAlign w:val="superscript"/>
          <w:lang w:val="id-ID"/>
        </w:rPr>
      </w:pPr>
      <w:proofErr w:type="spellStart"/>
      <w:r w:rsidRPr="009333E6">
        <w:t>F</w:t>
      </w:r>
      <w:r w:rsidR="006B402A" w:rsidRPr="009333E6">
        <w:t>ardiah</w:t>
      </w:r>
      <w:proofErr w:type="spellEnd"/>
      <w:r w:rsidR="006B402A" w:rsidRPr="009333E6">
        <w:t xml:space="preserve"> </w:t>
      </w:r>
      <w:proofErr w:type="spellStart"/>
      <w:r w:rsidR="006B402A" w:rsidRPr="009333E6">
        <w:t>Qonita</w:t>
      </w:r>
      <w:proofErr w:type="spellEnd"/>
      <w:r w:rsidR="006B402A" w:rsidRPr="009333E6">
        <w:t xml:space="preserve"> </w:t>
      </w:r>
      <w:proofErr w:type="spellStart"/>
      <w:r w:rsidR="006B402A" w:rsidRPr="00B1478F">
        <w:t>Ummi</w:t>
      </w:r>
      <w:proofErr w:type="spellEnd"/>
      <w:r w:rsidR="006B402A" w:rsidRPr="009333E6">
        <w:t xml:space="preserve"> </w:t>
      </w:r>
      <w:proofErr w:type="spellStart"/>
      <w:r w:rsidR="006B402A" w:rsidRPr="009333E6">
        <w:t>Naila</w:t>
      </w:r>
      <w:proofErr w:type="spellEnd"/>
      <w:r w:rsidR="00B1478F">
        <w:rPr>
          <w:vertAlign w:val="superscript"/>
        </w:rPr>
        <w:t xml:space="preserve">* </w:t>
      </w:r>
      <w:r w:rsidR="00B1478F" w:rsidRPr="00B1478F">
        <w:t xml:space="preserve">&amp; </w:t>
      </w:r>
      <w:r w:rsidR="00923CFA" w:rsidRPr="00923CFA">
        <w:t>Djoko Santoso Abi Suroso</w:t>
      </w:r>
    </w:p>
    <w:p w14:paraId="3F3EDCE0" w14:textId="4C1DF53E" w:rsidR="00AC08DA" w:rsidRPr="009333E6" w:rsidRDefault="009333E6" w:rsidP="00AC08DA">
      <w:pPr>
        <w:pStyle w:val="Address"/>
      </w:pPr>
      <w:r w:rsidRPr="009333E6">
        <w:t>School of Architecture, Planning, and Policy Development,</w:t>
      </w:r>
      <w:r w:rsidR="00E30449" w:rsidRPr="009333E6">
        <w:t xml:space="preserve"> </w:t>
      </w:r>
      <w:proofErr w:type="spellStart"/>
      <w:r w:rsidR="00E30449" w:rsidRPr="009333E6">
        <w:t>Institut</w:t>
      </w:r>
      <w:proofErr w:type="spellEnd"/>
      <w:r w:rsidR="00E30449" w:rsidRPr="009333E6">
        <w:t xml:space="preserve"> Teknologi Bandung</w:t>
      </w:r>
      <w:r w:rsidR="00AC08DA" w:rsidRPr="009333E6">
        <w:t xml:space="preserve"> </w:t>
      </w:r>
    </w:p>
    <w:p w14:paraId="1516250C" w14:textId="54C9087D" w:rsidR="00AC08DA" w:rsidRPr="009333E6" w:rsidRDefault="00B1478F" w:rsidP="00AC08DA">
      <w:pPr>
        <w:jc w:val="center"/>
        <w:rPr>
          <w:sz w:val="20"/>
          <w:lang w:val="id-ID"/>
        </w:rPr>
      </w:pPr>
      <w:r w:rsidRPr="00B1478F">
        <w:rPr>
          <w:sz w:val="20"/>
          <w:vertAlign w:val="superscript"/>
        </w:rPr>
        <w:t>*</w:t>
      </w:r>
      <w:r w:rsidR="00AC08DA" w:rsidRPr="009333E6">
        <w:rPr>
          <w:sz w:val="20"/>
        </w:rPr>
        <w:t xml:space="preserve">Email: </w:t>
      </w:r>
      <w:r w:rsidR="00E30449" w:rsidRPr="009333E6">
        <w:rPr>
          <w:sz w:val="20"/>
        </w:rPr>
        <w:t>Fardiahqonita123@gmail.com</w:t>
      </w:r>
    </w:p>
    <w:p w14:paraId="0D9807D7" w14:textId="77777777" w:rsidR="00AC08DA" w:rsidRPr="009333E6" w:rsidRDefault="00AC08DA" w:rsidP="00AC08DA">
      <w:pPr>
        <w:jc w:val="center"/>
        <w:rPr>
          <w:b/>
          <w:sz w:val="20"/>
        </w:rPr>
      </w:pPr>
    </w:p>
    <w:p w14:paraId="1C718BB7" w14:textId="77777777" w:rsidR="00AC08DA" w:rsidRPr="009333E6" w:rsidRDefault="00AC08DA" w:rsidP="00AC08DA">
      <w:pPr>
        <w:jc w:val="center"/>
        <w:rPr>
          <w:b/>
          <w:sz w:val="20"/>
        </w:rPr>
      </w:pPr>
    </w:p>
    <w:p w14:paraId="3F8F86DD" w14:textId="6D43034D" w:rsidR="00ED5BC2" w:rsidRPr="009333E6" w:rsidRDefault="00AC08DA" w:rsidP="00ED5BC2">
      <w:pPr>
        <w:pStyle w:val="Abstract"/>
      </w:pPr>
      <w:r w:rsidRPr="009333E6">
        <w:rPr>
          <w:b/>
        </w:rPr>
        <w:t xml:space="preserve">Abstract. </w:t>
      </w:r>
      <w:r w:rsidR="008F1C81" w:rsidRPr="009333E6">
        <w:t xml:space="preserve">The change in tourism trends during the Covid-19 pandemic to rural tourism is the basis for considering the role of </w:t>
      </w:r>
      <w:proofErr w:type="spellStart"/>
      <w:r w:rsidR="008F1C81" w:rsidRPr="009333E6">
        <w:t>agro</w:t>
      </w:r>
      <w:proofErr w:type="spellEnd"/>
      <w:r w:rsidR="008F1C81" w:rsidRPr="009333E6">
        <w:t xml:space="preserve">-tourism as a rural tourism option. Previous research has shown an increase in demand for the tourism market has a correlation with increased consumption of clean water, giving rise to issues of justice for access to rural air. Therefore, this study seeks to be able to give consideration to environmental potential in </w:t>
      </w:r>
      <w:proofErr w:type="spellStart"/>
      <w:r w:rsidR="008F1C81" w:rsidRPr="009333E6">
        <w:t>agro</w:t>
      </w:r>
      <w:proofErr w:type="spellEnd"/>
      <w:r w:rsidR="008F1C81" w:rsidRPr="009333E6">
        <w:t xml:space="preserve">-tourism activities with the case study of Batu City. In this study, a comparative study was used in three different villages in Batu City with vegetation characteristics as an </w:t>
      </w:r>
      <w:proofErr w:type="spellStart"/>
      <w:r w:rsidR="008F1C81" w:rsidRPr="009333E6">
        <w:t>agro</w:t>
      </w:r>
      <w:proofErr w:type="spellEnd"/>
      <w:r w:rsidR="008F1C81" w:rsidRPr="009333E6">
        <w:t xml:space="preserve">-tourism attraction offered by the Temperature Vegetation Dryness Index (TVDI) methodology. The results showed that there was a relationship between the area of ​​the vegetation index as shown by the Normalized Difference Vegetation Index (NDVI) approach in each village and the degree of drought shown in the results of the Temperature Vegetation Dryness Index (TVDI). The results of the study show that </w:t>
      </w:r>
      <w:proofErr w:type="spellStart"/>
      <w:r w:rsidR="008F1C81" w:rsidRPr="009333E6">
        <w:t>agro</w:t>
      </w:r>
      <w:proofErr w:type="spellEnd"/>
      <w:r w:rsidR="008F1C81" w:rsidRPr="009333E6">
        <w:t>-tourism plays a big role in maintaining air availability as indicated by the minimum level of drought in areas with high vegetation.</w:t>
      </w:r>
    </w:p>
    <w:p w14:paraId="4B324E07" w14:textId="7C59B680" w:rsidR="00AC08DA" w:rsidRPr="009333E6" w:rsidRDefault="00AC08DA" w:rsidP="00B1478F">
      <w:pPr>
        <w:pStyle w:val="Keywords"/>
      </w:pPr>
      <w:r w:rsidRPr="009333E6">
        <w:rPr>
          <w:b/>
        </w:rPr>
        <w:t>Keywords:</w:t>
      </w:r>
      <w:r w:rsidRPr="009333E6">
        <w:t xml:space="preserve"> </w:t>
      </w:r>
      <w:r w:rsidR="008F1C81" w:rsidRPr="009333E6">
        <w:t>Agrotourism</w:t>
      </w:r>
      <w:r w:rsidR="00B1478F">
        <w:t>;</w:t>
      </w:r>
      <w:r w:rsidR="008F1C81" w:rsidRPr="009333E6">
        <w:t xml:space="preserve"> Environmental Sustainability</w:t>
      </w:r>
      <w:r w:rsidR="00B1478F">
        <w:t>;</w:t>
      </w:r>
      <w:r w:rsidR="008F1C81" w:rsidRPr="009333E6">
        <w:t xml:space="preserve"> Drought Level</w:t>
      </w:r>
      <w:r w:rsidR="00B1478F">
        <w:t>.</w:t>
      </w:r>
    </w:p>
    <w:p w14:paraId="63E84DB0" w14:textId="77777777" w:rsidR="00AC08DA" w:rsidRPr="009333E6" w:rsidRDefault="00AC08DA" w:rsidP="00AC08DA">
      <w:pPr>
        <w:pStyle w:val="Heading1"/>
      </w:pPr>
      <w:r w:rsidRPr="009333E6">
        <w:t>Introduction</w:t>
      </w:r>
    </w:p>
    <w:p w14:paraId="4EC2AED7" w14:textId="27DD732F" w:rsidR="008F1C81" w:rsidRPr="009333E6" w:rsidRDefault="008F1C81" w:rsidP="00D314F9">
      <w:pPr>
        <w:autoSpaceDE w:val="0"/>
        <w:autoSpaceDN w:val="0"/>
        <w:adjustRightInd w:val="0"/>
        <w:jc w:val="both"/>
        <w:rPr>
          <w:sz w:val="22"/>
          <w:szCs w:val="22"/>
          <w:shd w:val="clear" w:color="auto" w:fill="FFFFFF"/>
        </w:rPr>
      </w:pPr>
      <w:r w:rsidRPr="009333E6">
        <w:rPr>
          <w:sz w:val="22"/>
          <w:szCs w:val="22"/>
          <w:shd w:val="clear" w:color="auto" w:fill="FFFFFF"/>
        </w:rPr>
        <w:t xml:space="preserve">We have now entered the city century and the term urbanization will become a perspective that is more widely used in viewing social, economic and environmental characteristics in the future </w:t>
      </w:r>
      <w:r w:rsidRPr="009333E6">
        <w:rPr>
          <w:sz w:val="22"/>
          <w:szCs w:val="22"/>
          <w:shd w:val="clear" w:color="auto" w:fill="FFFFFF"/>
        </w:rPr>
        <w:fldChar w:fldCharType="begin" w:fldLock="1"/>
      </w:r>
      <w:r w:rsidR="009333E6" w:rsidRPr="009333E6">
        <w:rPr>
          <w:sz w:val="22"/>
          <w:szCs w:val="22"/>
          <w:shd w:val="clear" w:color="auto" w:fill="FFFFFF"/>
        </w:rPr>
        <w:instrText>ADDIN CSL_CITATION {"citationItems":[{"id":"ITEM-1","itemData":{"DOI":"10.1146/ANNUREV-ENVIRON-100809-125336","ISSN":"15435938","abstract":"Contemporary urbanization differs from historical patterns of urban growth in terms of scale, rate, location, form, and function. This review discusses the characteristics of contemporary urbanizat...","author":[{"dropping-particle":"","family":"Seto","given":"Karen C.","non-dropping-particle":"","parse-names":false,"suffix":""},{"dropping-particle":"","family":"Sánchez-Rodríguez","given":"Roberto","non-dropping-particle":"","parse-names":false,"suffix":""},{"dropping-particle":"","family":"Fragkias","given":"Michail","non-dropping-particle":"","parse-names":false,"suffix":""}],"container-title":"http://dx.doi.org/10.1146/annurev-environ-100809-125336","id":"ITEM-1","issued":{"date-parts":[["2010","10","22"]]},"page":"167-194","publisher":" Annual Reviews ","title":"The New Geography of Contemporary Urbanization and the Environment","type":"article-journal","volume":"35"},"uris":["http://www.mendeley.com/documents/?uuid=a38120ed-ab79-3b68-8086-e17db47c09db"]}],"mendeley":{"formattedCitation":"[1]","plainTextFormattedCitation":"[1]","previouslyFormattedCitation":"[1]"},"properties":{"noteIndex":0},"schema":"https://github.com/citation-style-language/schema/raw/master/csl-citation.json"}</w:instrText>
      </w:r>
      <w:r w:rsidRPr="009333E6">
        <w:rPr>
          <w:sz w:val="22"/>
          <w:szCs w:val="22"/>
          <w:shd w:val="clear" w:color="auto" w:fill="FFFFFF"/>
        </w:rPr>
        <w:fldChar w:fldCharType="separate"/>
      </w:r>
      <w:r w:rsidR="009333E6" w:rsidRPr="009333E6">
        <w:rPr>
          <w:noProof/>
          <w:sz w:val="22"/>
          <w:szCs w:val="22"/>
          <w:shd w:val="clear" w:color="auto" w:fill="FFFFFF"/>
        </w:rPr>
        <w:t>[1]</w:t>
      </w:r>
      <w:r w:rsidRPr="009333E6">
        <w:rPr>
          <w:sz w:val="22"/>
          <w:szCs w:val="22"/>
          <w:shd w:val="clear" w:color="auto" w:fill="FFFFFF"/>
        </w:rPr>
        <w:fldChar w:fldCharType="end"/>
      </w:r>
      <w:r w:rsidRPr="009333E6">
        <w:rPr>
          <w:sz w:val="22"/>
          <w:szCs w:val="22"/>
          <w:shd w:val="clear" w:color="auto" w:fill="FFFFFF"/>
        </w:rPr>
        <w:t>. Scientists agree, we are currently living in a new urban era which is termed as '</w:t>
      </w:r>
      <w:proofErr w:type="spellStart"/>
      <w:r w:rsidRPr="009333E6">
        <w:rPr>
          <w:sz w:val="22"/>
          <w:szCs w:val="22"/>
          <w:shd w:val="clear" w:color="auto" w:fill="FFFFFF"/>
        </w:rPr>
        <w:t>Asticcene</w:t>
      </w:r>
      <w:proofErr w:type="spellEnd"/>
      <w:r w:rsidRPr="009333E6">
        <w:rPr>
          <w:sz w:val="22"/>
          <w:szCs w:val="22"/>
          <w:shd w:val="clear" w:color="auto" w:fill="FFFFFF"/>
        </w:rPr>
        <w:t xml:space="preserve">' which refers to the meaning of humans changing environmental functions globally </w:t>
      </w:r>
      <w:r w:rsidRPr="009333E6">
        <w:rPr>
          <w:sz w:val="22"/>
          <w:szCs w:val="22"/>
          <w:shd w:val="clear" w:color="auto" w:fill="FFFFFF"/>
        </w:rPr>
        <w:fldChar w:fldCharType="begin" w:fldLock="1"/>
      </w:r>
      <w:r w:rsidR="009333E6" w:rsidRPr="009333E6">
        <w:rPr>
          <w:sz w:val="22"/>
          <w:szCs w:val="22"/>
          <w:shd w:val="clear" w:color="auto" w:fill="FFFFFF"/>
        </w:rPr>
        <w:instrText>ADDIN CSL_CITATION {"citationItems":[{"id":"ITEM-1","itemData":{"URL":"https://findwords.info/term/astycene","accessed":{"date-parts":[["2022","9","14"]]},"id":"ITEM-1","issued":{"date-parts":[["0"]]},"title":"What does astycene mean - Definition of astycene - Word finder","type":"webpage"},"uris":["http://www.mendeley.com/documents/?uuid=1b276d72-ad86-3171-a9d2-54514e61f212"]}],"mendeley":{"formattedCitation":"[2]","plainTextFormattedCitation":"[2]","previouslyFormattedCitation":"[2]"},"properties":{"noteIndex":0},"schema":"https://github.com/citation-style-language/schema/raw/master/csl-citation.json"}</w:instrText>
      </w:r>
      <w:r w:rsidRPr="009333E6">
        <w:rPr>
          <w:sz w:val="22"/>
          <w:szCs w:val="22"/>
          <w:shd w:val="clear" w:color="auto" w:fill="FFFFFF"/>
        </w:rPr>
        <w:fldChar w:fldCharType="separate"/>
      </w:r>
      <w:r w:rsidR="009333E6" w:rsidRPr="009333E6">
        <w:rPr>
          <w:noProof/>
          <w:sz w:val="22"/>
          <w:szCs w:val="22"/>
          <w:shd w:val="clear" w:color="auto" w:fill="FFFFFF"/>
        </w:rPr>
        <w:t>[2]</w:t>
      </w:r>
      <w:r w:rsidRPr="009333E6">
        <w:rPr>
          <w:sz w:val="22"/>
          <w:szCs w:val="22"/>
          <w:shd w:val="clear" w:color="auto" w:fill="FFFFFF"/>
        </w:rPr>
        <w:fldChar w:fldCharType="end"/>
      </w:r>
      <w:r w:rsidRPr="009333E6">
        <w:rPr>
          <w:sz w:val="22"/>
          <w:szCs w:val="22"/>
          <w:shd w:val="clear" w:color="auto" w:fill="FFFFFF"/>
        </w:rPr>
        <w:t xml:space="preserve">. The context of urbanization can also be brought into the context of tourism, where currently urban tourism tends to increase rapidly compared to other forms of tourism </w:t>
      </w:r>
      <w:r w:rsidRPr="009333E6">
        <w:rPr>
          <w:sz w:val="22"/>
          <w:szCs w:val="22"/>
          <w:shd w:val="clear" w:color="auto" w:fill="FFFFFF"/>
        </w:rPr>
        <w:fldChar w:fldCharType="begin" w:fldLock="1"/>
      </w:r>
      <w:r w:rsidR="009333E6" w:rsidRPr="009333E6">
        <w:rPr>
          <w:sz w:val="22"/>
          <w:szCs w:val="22"/>
          <w:shd w:val="clear" w:color="auto" w:fill="FFFFFF"/>
        </w:rPr>
        <w:instrText>ADDIN CSL_CITATION {"citationItems":[{"id":"ITEM-1","itemData":{"DOI":"10.3390/su11154228","ISSN":"20711050","abstract":"The journal Sustainability has previously published special issues on sustainable tourism and on sustainable cities (both in 2014). This special issue presents recent insights from combining the two research topics. There is some convergence with respect to core challenges that sustainable urban tourism is facing. Firstly, relating to social sustainable development, there is the tension between the quality of life for residents in different ways and the development of cities to benefit the tourism industry. Secondly, relating to environmental sustainable development, there is the tension between residents and their desire for good local environmental standards and visiting tourists that create a number of over-tourism related local environmental problems. Thirdly, there are the challenges that so far have received less attention, but obviously are expected to become crucial in the years to come: The double climate change provides risks to cities from a changing climate and from more ambitious climate policies to come.","author":[{"dropping-particle":"","family":"Aall","given":"Carlo","non-dropping-particle":"","parse-names":false,"suffix":""},{"dropping-particle":"","family":"Koens","given":"Ko","non-dropping-particle":"","parse-names":false,"suffix":""}],"container-title":"Sustainability (Switzerland)","id":"ITEM-1","issue":"15","issued":{"date-parts":[["2019"]]},"page":"1-12","title":"The discourse on sustainable urban tourism: The need for discussing more than overtourism","type":"article-journal","volume":"11"},"uris":["http://www.mendeley.com/documents/?uuid=b1e0585b-4aea-4fdb-8816-1c9d7ef08c33"]}],"mendeley":{"formattedCitation":"[3]","plainTextFormattedCitation":"[3]","previouslyFormattedCitation":"[3]"},"properties":{"noteIndex":0},"schema":"https://github.com/citation-style-language/schema/raw/master/csl-citation.json"}</w:instrText>
      </w:r>
      <w:r w:rsidRPr="009333E6">
        <w:rPr>
          <w:sz w:val="22"/>
          <w:szCs w:val="22"/>
          <w:shd w:val="clear" w:color="auto" w:fill="FFFFFF"/>
        </w:rPr>
        <w:fldChar w:fldCharType="separate"/>
      </w:r>
      <w:r w:rsidR="009333E6" w:rsidRPr="009333E6">
        <w:rPr>
          <w:noProof/>
          <w:sz w:val="22"/>
          <w:szCs w:val="22"/>
          <w:shd w:val="clear" w:color="auto" w:fill="FFFFFF"/>
        </w:rPr>
        <w:t>[3]</w:t>
      </w:r>
      <w:r w:rsidRPr="009333E6">
        <w:rPr>
          <w:sz w:val="22"/>
          <w:szCs w:val="22"/>
          <w:shd w:val="clear" w:color="auto" w:fill="FFFFFF"/>
        </w:rPr>
        <w:fldChar w:fldCharType="end"/>
      </w:r>
      <w:r w:rsidRPr="009333E6">
        <w:rPr>
          <w:sz w:val="22"/>
          <w:szCs w:val="22"/>
          <w:shd w:val="clear" w:color="auto" w:fill="FFFFFF"/>
        </w:rPr>
        <w:t xml:space="preserve">. </w:t>
      </w:r>
    </w:p>
    <w:p w14:paraId="4ACCB4C3" w14:textId="749D272F" w:rsidR="00E30449" w:rsidRPr="009333E6" w:rsidRDefault="00E30449" w:rsidP="00D314F9">
      <w:pPr>
        <w:autoSpaceDE w:val="0"/>
        <w:autoSpaceDN w:val="0"/>
        <w:adjustRightInd w:val="0"/>
        <w:jc w:val="both"/>
        <w:rPr>
          <w:sz w:val="22"/>
          <w:szCs w:val="22"/>
        </w:rPr>
      </w:pPr>
    </w:p>
    <w:p w14:paraId="4BF53C1F" w14:textId="53F91889" w:rsidR="0031033B" w:rsidRPr="009333E6" w:rsidRDefault="0031033B" w:rsidP="00D314F9">
      <w:pPr>
        <w:autoSpaceDE w:val="0"/>
        <w:autoSpaceDN w:val="0"/>
        <w:adjustRightInd w:val="0"/>
        <w:jc w:val="both"/>
        <w:rPr>
          <w:sz w:val="22"/>
          <w:szCs w:val="22"/>
        </w:rPr>
      </w:pPr>
      <w:r w:rsidRPr="009333E6">
        <w:rPr>
          <w:sz w:val="22"/>
          <w:szCs w:val="22"/>
        </w:rPr>
        <w:t>Besides being an important destination, cities have a significant role in the tourism as a whole system, by being a gateway for international and domestic tourists as well as being a node in the transportation system</w:t>
      </w:r>
      <w:r w:rsidR="00921FD9" w:rsidRPr="009333E6">
        <w:rPr>
          <w:sz w:val="22"/>
          <w:szCs w:val="22"/>
        </w:rPr>
        <w:t xml:space="preserve"> </w:t>
      </w:r>
      <w:r w:rsidR="00921FD9" w:rsidRPr="009333E6">
        <w:rPr>
          <w:sz w:val="22"/>
          <w:szCs w:val="22"/>
        </w:rPr>
        <w:fldChar w:fldCharType="begin" w:fldLock="1"/>
      </w:r>
      <w:r w:rsidR="009333E6" w:rsidRPr="009333E6">
        <w:rPr>
          <w:sz w:val="22"/>
          <w:szCs w:val="22"/>
        </w:rPr>
        <w:instrText>ADDIN CSL_CITATION {"citationItems":[{"id":"ITEM-1","itemData":{"DOI":"10.1016/j.annals.2008.09.002","ISSN":"01607383","abstract":"The study of urban tourism and associated focus on urban tourist precincts is a growing area of interest as practitioners, researchers and policy makers seek to understand the phenomenon of tourism within the urban environment. In Australia research in this area has lacked integration and has not engaged sufficiently with the contextual setting of the urban environment. This paper reports on a study that was undertaken to identify the important areas that should be included in an urban tourism research agenda. This paper has three aims: to review the literature on urban tourism; to outline the process that was undertaken to identify areas for urban tourism research; and to present a conceptual framework that can be used to focus future urban tourism research. © 2008 Elsevier Ltd. All rights reserved.","author":[{"dropping-particle":"","family":"Edwards","given":"Deborah","non-dropping-particle":"","parse-names":false,"suffix":""},{"dropping-particle":"","family":"Griffin","given":"Tony","non-dropping-particle":"","parse-names":false,"suffix":""},{"dropping-particle":"","family":"Hayllar","given":"Bruce","non-dropping-particle":"","parse-names":false,"suffix":""}],"container-title":"Annals of Tourism Research","id":"ITEM-1","issue":"4","issued":{"date-parts":[["2008"]]},"page":"1032-1052","publisher":"Elsevier Ltd","title":"Urban Tourism Research. Developing an Agenda","type":"article-journal","volume":"35"},"uris":["http://www.mendeley.com/documents/?uuid=1653cf69-f7cb-4ca3-9901-38e18395f527"]}],"mendeley":{"formattedCitation":"[4]","plainTextFormattedCitation":"[4]","previouslyFormattedCitation":"[4]"},"properties":{"noteIndex":0},"schema":"https://github.com/citation-style-language/schema/raw/master/csl-citation.json"}</w:instrText>
      </w:r>
      <w:r w:rsidR="00921FD9" w:rsidRPr="009333E6">
        <w:rPr>
          <w:sz w:val="22"/>
          <w:szCs w:val="22"/>
        </w:rPr>
        <w:fldChar w:fldCharType="separate"/>
      </w:r>
      <w:r w:rsidR="009333E6" w:rsidRPr="009333E6">
        <w:rPr>
          <w:noProof/>
          <w:sz w:val="22"/>
          <w:szCs w:val="22"/>
        </w:rPr>
        <w:t>[4]</w:t>
      </w:r>
      <w:r w:rsidR="00921FD9" w:rsidRPr="009333E6">
        <w:rPr>
          <w:sz w:val="22"/>
          <w:szCs w:val="22"/>
        </w:rPr>
        <w:fldChar w:fldCharType="end"/>
      </w:r>
      <w:r w:rsidRPr="009333E6">
        <w:rPr>
          <w:sz w:val="22"/>
          <w:szCs w:val="22"/>
        </w:rPr>
        <w:t xml:space="preserve">. Furthermore, regarding the role of the city as a multifunctional entity and an attraction for tourists to be able to visit, it has the opportunity to shape the relationship between urbanity and various tourism activities. This is because there is an intersection </w:t>
      </w:r>
      <w:r w:rsidRPr="009333E6">
        <w:rPr>
          <w:sz w:val="22"/>
          <w:szCs w:val="22"/>
        </w:rPr>
        <w:lastRenderedPageBreak/>
        <w:t>between the needs of residents and tourists so that cities face different demands in the provision of services and facilities. The tourist burden in a city can have an impact on reducing the quality of urban life.</w:t>
      </w:r>
    </w:p>
    <w:p w14:paraId="2574EDFC" w14:textId="575ABCC5" w:rsidR="00921FD9" w:rsidRPr="009333E6" w:rsidRDefault="00921FD9" w:rsidP="00D314F9">
      <w:pPr>
        <w:jc w:val="both"/>
        <w:rPr>
          <w:sz w:val="22"/>
          <w:szCs w:val="22"/>
          <w:shd w:val="clear" w:color="auto" w:fill="FFFFFF"/>
        </w:rPr>
      </w:pPr>
    </w:p>
    <w:p w14:paraId="4F08A9AE" w14:textId="61F4564E" w:rsidR="00921FD9" w:rsidRPr="009333E6" w:rsidRDefault="00921FD9" w:rsidP="00D314F9">
      <w:pPr>
        <w:jc w:val="both"/>
        <w:rPr>
          <w:sz w:val="22"/>
          <w:szCs w:val="22"/>
          <w:shd w:val="clear" w:color="auto" w:fill="FFFFFF"/>
        </w:rPr>
      </w:pPr>
      <w:r w:rsidRPr="009333E6">
        <w:rPr>
          <w:sz w:val="22"/>
          <w:szCs w:val="22"/>
          <w:shd w:val="clear" w:color="auto" w:fill="FFFFFF"/>
        </w:rPr>
        <w:t xml:space="preserve">The rapid development of the tourism industry is a real threat to the issue of climate change </w:t>
      </w:r>
      <w:r w:rsidRPr="009333E6">
        <w:rPr>
          <w:sz w:val="22"/>
          <w:szCs w:val="22"/>
          <w:shd w:val="clear" w:color="auto" w:fill="FFFFFF"/>
        </w:rPr>
        <w:fldChar w:fldCharType="begin" w:fldLock="1"/>
      </w:r>
      <w:r w:rsidR="009333E6" w:rsidRPr="009333E6">
        <w:rPr>
          <w:sz w:val="22"/>
          <w:szCs w:val="22"/>
          <w:shd w:val="clear" w:color="auto" w:fill="FFFFFF"/>
        </w:rPr>
        <w:instrText>ADDIN CSL_CITATION {"citationItems":[{"id":"ITEM-1","itemData":{"URL":"https://www.seagoinggreen.org/blog/the-link-between-tourism-and-climate-change","accessed":{"date-parts":[["2022","9","14"]]},"id":"ITEM-1","issued":{"date-parts":[["2020","3","3"]]},"title":"The Link Between Tourism and Climate Change — Sea Going Green","type":"webpage"},"uris":["http://www.mendeley.com/documents/?uuid=195c9c7a-f7cc-38a4-9075-051f4387163b"]}],"mendeley":{"formattedCitation":"[5]","plainTextFormattedCitation":"[5]","previouslyFormattedCitation":"[5]"},"properties":{"noteIndex":0},"schema":"https://github.com/citation-style-language/schema/raw/master/csl-citation.json"}</w:instrText>
      </w:r>
      <w:r w:rsidRPr="009333E6">
        <w:rPr>
          <w:sz w:val="22"/>
          <w:szCs w:val="22"/>
          <w:shd w:val="clear" w:color="auto" w:fill="FFFFFF"/>
        </w:rPr>
        <w:fldChar w:fldCharType="separate"/>
      </w:r>
      <w:r w:rsidR="009333E6" w:rsidRPr="009333E6">
        <w:rPr>
          <w:noProof/>
          <w:sz w:val="22"/>
          <w:szCs w:val="22"/>
          <w:shd w:val="clear" w:color="auto" w:fill="FFFFFF"/>
        </w:rPr>
        <w:t>[5]</w:t>
      </w:r>
      <w:r w:rsidRPr="009333E6">
        <w:rPr>
          <w:sz w:val="22"/>
          <w:szCs w:val="22"/>
          <w:shd w:val="clear" w:color="auto" w:fill="FFFFFF"/>
        </w:rPr>
        <w:fldChar w:fldCharType="end"/>
      </w:r>
      <w:r w:rsidRPr="009333E6">
        <w:rPr>
          <w:sz w:val="22"/>
          <w:szCs w:val="22"/>
          <w:shd w:val="clear" w:color="auto" w:fill="FFFFFF"/>
        </w:rPr>
        <w:t xml:space="preserve">. This is evidenced by data regarding a number of countries that are vulnerable to climate change which are both domestic and international tourist destinations </w:t>
      </w:r>
      <w:r w:rsidRPr="009333E6">
        <w:rPr>
          <w:sz w:val="22"/>
          <w:szCs w:val="22"/>
          <w:shd w:val="clear" w:color="auto" w:fill="FFFFFF"/>
        </w:rPr>
        <w:fldChar w:fldCharType="begin" w:fldLock="1"/>
      </w:r>
      <w:r w:rsidR="009333E6" w:rsidRPr="009333E6">
        <w:rPr>
          <w:sz w:val="22"/>
          <w:szCs w:val="22"/>
          <w:shd w:val="clear" w:color="auto" w:fill="FFFFFF"/>
        </w:rPr>
        <w:instrText>ADDIN CSL_CITATION {"citationItems":[{"id":"ITEM-1","itemData":{"DOI":"10.1016/j.annals.2008.09.002","ISSN":"01607383","abstract":"The study of urban tourism and associated focus on urban tourist precincts is a growing area of interest as practitioners, researchers and policy makers seek to understand the phenomenon of tourism within the urban environment. In Australia research in this area has lacked integration and has not engaged sufficiently with the contextual setting of the urban environment. This paper reports on a study that was undertaken to identify the important areas that should be included in an urban tourism research agenda. This paper has three aims: to review the literature on urban tourism; to outline the process that was undertaken to identify areas for urban tourism research; and to present a conceptual framework that can be used to focus future urban tourism research. © 2008 Elsevier Ltd. All rights reserved.","author":[{"dropping-particle":"","family":"Edwards","given":"Deborah","non-dropping-particle":"","parse-names":false,"suffix":""},{"dropping-particle":"","family":"Griffin","given":"Tony","non-dropping-particle":"","parse-names":false,"suffix":""},{"dropping-particle":"","family":"Hayllar","given":"Bruce","non-dropping-particle":"","parse-names":false,"suffix":""}],"container-title":"Annals of Tourism Research","id":"ITEM-1","issue":"4","issued":{"date-parts":[["2008"]]},"page":"1032-1052","publisher":"Elsevier Ltd","title":"Urban Tourism Research. Developing an Agenda","type":"article-journal","volume":"35"},"uris":["http://www.mendeley.com/documents/?uuid=1653cf69-f7cb-4ca3-9901-38e18395f527"]}],"mendeley":{"formattedCitation":"[4]","plainTextFormattedCitation":"[4]","previouslyFormattedCitation":"[4]"},"properties":{"noteIndex":0},"schema":"https://github.com/citation-style-language/schema/raw/master/csl-citation.json"}</w:instrText>
      </w:r>
      <w:r w:rsidRPr="009333E6">
        <w:rPr>
          <w:sz w:val="22"/>
          <w:szCs w:val="22"/>
          <w:shd w:val="clear" w:color="auto" w:fill="FFFFFF"/>
        </w:rPr>
        <w:fldChar w:fldCharType="separate"/>
      </w:r>
      <w:r w:rsidR="009333E6" w:rsidRPr="009333E6">
        <w:rPr>
          <w:noProof/>
          <w:sz w:val="22"/>
          <w:szCs w:val="22"/>
          <w:shd w:val="clear" w:color="auto" w:fill="FFFFFF"/>
        </w:rPr>
        <w:t>[4]</w:t>
      </w:r>
      <w:r w:rsidRPr="009333E6">
        <w:rPr>
          <w:sz w:val="22"/>
          <w:szCs w:val="22"/>
          <w:shd w:val="clear" w:color="auto" w:fill="FFFFFF"/>
        </w:rPr>
        <w:fldChar w:fldCharType="end"/>
      </w:r>
      <w:r w:rsidRPr="009333E6">
        <w:rPr>
          <w:sz w:val="22"/>
          <w:szCs w:val="22"/>
          <w:shd w:val="clear" w:color="auto" w:fill="FFFFFF"/>
        </w:rPr>
        <w:t xml:space="preserve">, this condition will also cause drastic changes in the decline in tourist visits including in coastal, mountainous and polar regions. due to drought, heat waves and hurricanes. The amount of dependence on other sectors causes the tourism industry to be the first to receive the impact of a disaster. On the other hand, the tourism sector is one of the factors that perpetuate global warming and natural disasters. The tourism sector is a contributor of 8% of greenhouse gas (GHG) emissions as a result of aviation (40%), transportation (30%), and consumption of goods and services (30%) including accommodation needs </w:t>
      </w:r>
      <w:r w:rsidRPr="009333E6">
        <w:rPr>
          <w:sz w:val="22"/>
          <w:szCs w:val="22"/>
          <w:shd w:val="clear" w:color="auto" w:fill="FFFFFF"/>
        </w:rPr>
        <w:fldChar w:fldCharType="begin" w:fldLock="1"/>
      </w:r>
      <w:r w:rsidR="009333E6" w:rsidRPr="009333E6">
        <w:rPr>
          <w:sz w:val="22"/>
          <w:szCs w:val="22"/>
          <w:shd w:val="clear" w:color="auto" w:fill="FFFFFF"/>
        </w:rPr>
        <w:instrText>ADDIN CSL_CITATION {"citationItems":[{"id":"ITEM-1","itemData":{"DOI":"10.1038/s41558-018-0141-x","ISSN":"1758-6798","abstract":"Tourism contributes significantly to global gross domestic product, and is forecast to grow at an annual 4%, thus outpacing many other economic sectors. However, global carbon emissions related to tourism are currently not well quantified. Here, we quantify tourism-related global carbon flows between 160 countries, and their carbon footprints under origin and destination accounting perspectives. We find that, between 2009 and 2013, tourism’s global carbon footprint has increased from 3.9 to 4.5 GtCO2e, four times more than previously estimated, accounting for about 8% of global greenhouse gas emissions. Transport, shopping and food are significant contributors. The majority of this footprint is exerted by and in high-income countries. The rapid increase in tourism demand is effectively outstripping the decarbonization of tourism-related technology. We project that, due to its high carbon intensity and continuing growth, tourism will constitute a growing part of the world’s greenhouse gas emissions. Tourism is a significant contributor to the global economy, with potentially large environmental impacts. Origin and destination accounting perspectives are used to provide a comprehensive assessment of global tourism’s carbon footprint.","author":[{"dropping-particle":"","family":"Lenzen","given":"Manfred","non-dropping-particle":"","parse-names":false,"suffix":""},{"dropping-particle":"","family":"Sun","given":"Ya Yen","non-dropping-particle":"","parse-names":false,"suffix":""},{"dropping-particle":"","family":"Faturay","given":"Futu","non-dropping-particle":"","parse-names":false,"suffix":""},{"dropping-particle":"","family":"Ting","given":"Yuan Peng","non-dropping-particle":"","parse-names":false,"suffix":""},{"dropping-particle":"","family":"Geschke","given":"Arne","non-dropping-particle":"","parse-names":false,"suffix":""},{"dropping-particle":"","family":"Malik","given":"Arunima","non-dropping-particle":"","parse-names":false,"suffix":""}],"container-title":"Nature Climate Change 2018 8:6","id":"ITEM-1","issue":"6","issued":{"date-parts":[["2018","5","7"]]},"page":"522-528","publisher":"Nature Publishing Group","title":"The carbon footprint of global tourism","type":"article-journal","volume":"8"},"uris":["http://www.mendeley.com/documents/?uuid=3835b1a5-5bad-3843-a07c-5e9fba2f9738"]}],"mendeley":{"formattedCitation":"[6]","plainTextFormattedCitation":"[6]","previouslyFormattedCitation":"[6]"},"properties":{"noteIndex":0},"schema":"https://github.com/citation-style-language/schema/raw/master/csl-citation.json"}</w:instrText>
      </w:r>
      <w:r w:rsidRPr="009333E6">
        <w:rPr>
          <w:sz w:val="22"/>
          <w:szCs w:val="22"/>
          <w:shd w:val="clear" w:color="auto" w:fill="FFFFFF"/>
        </w:rPr>
        <w:fldChar w:fldCharType="separate"/>
      </w:r>
      <w:r w:rsidR="009333E6" w:rsidRPr="009333E6">
        <w:rPr>
          <w:noProof/>
          <w:sz w:val="22"/>
          <w:szCs w:val="22"/>
          <w:shd w:val="clear" w:color="auto" w:fill="FFFFFF"/>
        </w:rPr>
        <w:t>[6]</w:t>
      </w:r>
      <w:r w:rsidRPr="009333E6">
        <w:rPr>
          <w:sz w:val="22"/>
          <w:szCs w:val="22"/>
          <w:shd w:val="clear" w:color="auto" w:fill="FFFFFF"/>
        </w:rPr>
        <w:fldChar w:fldCharType="end"/>
      </w:r>
      <w:r w:rsidRPr="009333E6">
        <w:rPr>
          <w:sz w:val="22"/>
          <w:szCs w:val="22"/>
          <w:shd w:val="clear" w:color="auto" w:fill="FFFFFF"/>
        </w:rPr>
        <w:t>. This causes the tourism sector to be a bigger pollutant sector than the construction sector.</w:t>
      </w:r>
    </w:p>
    <w:p w14:paraId="66845068" w14:textId="77777777" w:rsidR="00E30449" w:rsidRPr="009333E6" w:rsidRDefault="00E30449" w:rsidP="00D314F9">
      <w:pPr>
        <w:jc w:val="both"/>
        <w:rPr>
          <w:sz w:val="22"/>
          <w:szCs w:val="22"/>
          <w:shd w:val="clear" w:color="auto" w:fill="FFFFFF"/>
        </w:rPr>
      </w:pPr>
    </w:p>
    <w:p w14:paraId="6F79CDEA" w14:textId="67A821D2" w:rsidR="00806633" w:rsidRPr="009333E6" w:rsidRDefault="00806633" w:rsidP="00D314F9">
      <w:pPr>
        <w:jc w:val="both"/>
        <w:rPr>
          <w:sz w:val="22"/>
          <w:szCs w:val="22"/>
        </w:rPr>
      </w:pPr>
      <w:r w:rsidRPr="009333E6">
        <w:rPr>
          <w:sz w:val="22"/>
          <w:szCs w:val="22"/>
        </w:rPr>
        <w:t>In the context of Southeast Asia, many countries make the tourism sector a driving force for the economy. According to data from Southeast Asia: Travel and Tourism GDP Contribution, 2021 the tourism sector in Southeast Asia as a whole made the highest contribution in 2019, namely 393.12 billion dollars, then in experienced a significant decrease to 180.21 billion dollars in 2020 and amounted to 143.25 billion dollars in 2020. 2021 due to the covid-19 pandemic.</w:t>
      </w:r>
    </w:p>
    <w:p w14:paraId="38267485" w14:textId="3650D621" w:rsidR="00806633" w:rsidRPr="009333E6" w:rsidRDefault="00806633" w:rsidP="00D314F9">
      <w:pPr>
        <w:jc w:val="both"/>
        <w:rPr>
          <w:sz w:val="22"/>
          <w:szCs w:val="22"/>
        </w:rPr>
      </w:pPr>
    </w:p>
    <w:p w14:paraId="2D609C92" w14:textId="770F9847" w:rsidR="00806633" w:rsidRPr="009333E6" w:rsidRDefault="00806633" w:rsidP="00806633">
      <w:pPr>
        <w:jc w:val="both"/>
        <w:rPr>
          <w:sz w:val="22"/>
          <w:szCs w:val="22"/>
        </w:rPr>
      </w:pPr>
      <w:r w:rsidRPr="009333E6">
        <w:rPr>
          <w:sz w:val="22"/>
          <w:szCs w:val="22"/>
        </w:rPr>
        <w:t xml:space="preserve">Limited access to foreign tourists is the main factor in the decline in the contribution of the economic sector to GDP. Therefore, many countries in Southeast Asia have developed a strategy for recovering the tourism sector by promoting domestic tourism by implementing policies </w:t>
      </w:r>
      <w:r w:rsidR="00D314F9" w:rsidRPr="009333E6">
        <w:rPr>
          <w:sz w:val="22"/>
          <w:szCs w:val="22"/>
        </w:rPr>
        <w:fldChar w:fldCharType="begin" w:fldLock="1"/>
      </w:r>
      <w:r w:rsidR="009333E6" w:rsidRPr="009333E6">
        <w:rPr>
          <w:sz w:val="22"/>
          <w:szCs w:val="22"/>
        </w:rPr>
        <w:instrText>ADDIN CSL_CITATION {"citationItems":[{"id":"ITEM-1","itemData":{"ISBN":"9781513561905","author":[{"dropping-particle":"","family":"Goretti","given":"M.","non-dropping-particle":"","parse-names":false,"suffix":""},{"dropping-particle":"","family":"Leigh","given":"L.","non-dropping-particle":"","parse-names":false,"suffix":""},{"dropping-particle":"","family":"Babii","given":"Aleksandra.","non-dropping-particle":"","parse-names":false,"suffix":""},{"dropping-particle":"","family":"Cevik","given":"Serhan.","non-dropping-particle":"","parse-names":false,"suffix":""},{"dropping-particle":"","family":"Kaendera","given":"Stella.","non-dropping-particle":"","parse-names":false,"suffix":""},{"dropping-particle":"","family":"Muir","given":"Irk.","non-dropping-particle":"","parse-names":false,"suffix":""},{"dropping-particle":"","family":"Nadeem","given":"Sanaa.","non-dropping-particle":"","parse-names":false,"suffix":""},{"dropping-particle":"","family":"Salinas","given":"Gonzalo.","non-dropping-particle":"","parse-names":false,"suffix":""}],"id":"ITEM-1","issue":"21","issued":{"date-parts":[["2021"]]},"number-of-pages":"1-115","title":"Tourism in the Post-Pandemic World","type":"book"},"uris":["http://www.mendeley.com/documents/?uuid=75015103-c9ef-4bae-86b4-1a77d362a203"]},{"id":"ITEM-2","itemData":{"URL":"https://www.adb.org/news/op-ed/domestic-tourism-southeast-asia-opportunities-and-pathways-matthias-helble-and-jaeyeon","accessed":{"date-parts":[["2022","10","22"]]},"author":[{"dropping-particle":"","family":"Asian Development Bank","given":"","non-dropping-particle":"","parse-names":false,"suffix":""}],"id":"ITEM-2","issued":{"date-parts":[["0"]]},"title":"Domestic Tourism in Southeast Asia: Opportunities and Pathways - Matthias Helble and Jaeyeon Choe | Asian Development Bank","type":"webpage"},"uris":["http://www.mendeley.com/documents/?uuid=e10334b5-49df-3431-99c4-0c5acc453797"]}],"mendeley":{"formattedCitation":"[7], [8]","plainTextFormattedCitation":"[7], [8]","previouslyFormattedCitation":"[7], [8]"},"properties":{"noteIndex":0},"schema":"https://github.com/citation-style-language/schema/raw/master/csl-citation.json"}</w:instrText>
      </w:r>
      <w:r w:rsidR="00D314F9" w:rsidRPr="009333E6">
        <w:rPr>
          <w:sz w:val="22"/>
          <w:szCs w:val="22"/>
        </w:rPr>
        <w:fldChar w:fldCharType="separate"/>
      </w:r>
      <w:r w:rsidR="009333E6" w:rsidRPr="009333E6">
        <w:rPr>
          <w:noProof/>
          <w:sz w:val="22"/>
          <w:szCs w:val="22"/>
        </w:rPr>
        <w:t>[7], [8]</w:t>
      </w:r>
      <w:r w:rsidR="00D314F9" w:rsidRPr="009333E6">
        <w:rPr>
          <w:sz w:val="22"/>
          <w:szCs w:val="22"/>
        </w:rPr>
        <w:fldChar w:fldCharType="end"/>
      </w:r>
      <w:r w:rsidRPr="009333E6">
        <w:rPr>
          <w:sz w:val="22"/>
          <w:szCs w:val="22"/>
        </w:rPr>
        <w:t xml:space="preserve">: </w:t>
      </w:r>
    </w:p>
    <w:p w14:paraId="6E3B94B6" w14:textId="77777777" w:rsidR="00806633" w:rsidRPr="009333E6" w:rsidRDefault="00806633" w:rsidP="00806633">
      <w:pPr>
        <w:pStyle w:val="ListParagraph"/>
        <w:numPr>
          <w:ilvl w:val="0"/>
          <w:numId w:val="37"/>
        </w:numPr>
        <w:spacing w:line="240" w:lineRule="auto"/>
        <w:jc w:val="both"/>
        <w:rPr>
          <w:rFonts w:ascii="Times New Roman" w:hAnsi="Times New Roman" w:cs="Times New Roman"/>
        </w:rPr>
      </w:pPr>
      <w:r w:rsidRPr="009333E6">
        <w:rPr>
          <w:rFonts w:ascii="Times New Roman" w:hAnsi="Times New Roman" w:cs="Times New Roman"/>
        </w:rPr>
        <w:t>Identify new niches in the domestic tourism market</w:t>
      </w:r>
    </w:p>
    <w:p w14:paraId="24D7F896" w14:textId="77777777" w:rsidR="00806633" w:rsidRPr="009333E6" w:rsidRDefault="00806633" w:rsidP="00806633">
      <w:pPr>
        <w:pStyle w:val="ListParagraph"/>
        <w:numPr>
          <w:ilvl w:val="0"/>
          <w:numId w:val="37"/>
        </w:numPr>
        <w:spacing w:line="240" w:lineRule="auto"/>
        <w:jc w:val="both"/>
        <w:rPr>
          <w:rFonts w:ascii="Times New Roman" w:hAnsi="Times New Roman" w:cs="Times New Roman"/>
        </w:rPr>
      </w:pPr>
      <w:r w:rsidRPr="009333E6">
        <w:rPr>
          <w:rFonts w:ascii="Times New Roman" w:hAnsi="Times New Roman" w:cs="Times New Roman"/>
        </w:rPr>
        <w:t>Re-orientation of tourism services</w:t>
      </w:r>
    </w:p>
    <w:p w14:paraId="7042D98C" w14:textId="77777777" w:rsidR="00806633" w:rsidRPr="009333E6" w:rsidRDefault="00806633" w:rsidP="00806633">
      <w:pPr>
        <w:pStyle w:val="ListParagraph"/>
        <w:numPr>
          <w:ilvl w:val="0"/>
          <w:numId w:val="37"/>
        </w:numPr>
        <w:spacing w:line="240" w:lineRule="auto"/>
        <w:jc w:val="both"/>
        <w:rPr>
          <w:rFonts w:ascii="Times New Roman" w:hAnsi="Times New Roman" w:cs="Times New Roman"/>
        </w:rPr>
      </w:pPr>
      <w:r w:rsidRPr="009333E6">
        <w:rPr>
          <w:rFonts w:ascii="Times New Roman" w:hAnsi="Times New Roman" w:cs="Times New Roman"/>
        </w:rPr>
        <w:t>Support SMEs and startups</w:t>
      </w:r>
    </w:p>
    <w:p w14:paraId="0A9B1528" w14:textId="14D1CCA9" w:rsidR="000976AA" w:rsidRPr="009333E6" w:rsidRDefault="00806633" w:rsidP="000976AA">
      <w:pPr>
        <w:pStyle w:val="ListParagraph"/>
        <w:numPr>
          <w:ilvl w:val="0"/>
          <w:numId w:val="37"/>
        </w:numPr>
        <w:spacing w:line="240" w:lineRule="auto"/>
        <w:jc w:val="both"/>
        <w:rPr>
          <w:rFonts w:ascii="Times New Roman" w:hAnsi="Times New Roman" w:cs="Times New Roman"/>
        </w:rPr>
      </w:pPr>
      <w:r w:rsidRPr="009333E6">
        <w:rPr>
          <w:rFonts w:ascii="Times New Roman" w:hAnsi="Times New Roman" w:cs="Times New Roman"/>
        </w:rPr>
        <w:t>Develop tourism in rural areas</w:t>
      </w:r>
    </w:p>
    <w:p w14:paraId="1DBA953F" w14:textId="1E27B2FB" w:rsidR="000976AA" w:rsidRPr="009333E6" w:rsidRDefault="000976AA" w:rsidP="000976AA">
      <w:pPr>
        <w:jc w:val="both"/>
        <w:rPr>
          <w:sz w:val="22"/>
          <w:szCs w:val="18"/>
        </w:rPr>
      </w:pPr>
      <w:r w:rsidRPr="009333E6">
        <w:rPr>
          <w:sz w:val="22"/>
          <w:szCs w:val="18"/>
        </w:rPr>
        <w:t xml:space="preserve">The demand for rural tourism increased during the covid-19 pandemic due to the need for psychological and physical recovery during the face of the covid-19 pandemic </w:t>
      </w:r>
      <w:r w:rsidRPr="009333E6">
        <w:rPr>
          <w:sz w:val="22"/>
          <w:szCs w:val="18"/>
        </w:rPr>
        <w:fldChar w:fldCharType="begin" w:fldLock="1"/>
      </w:r>
      <w:r w:rsidR="009333E6" w:rsidRPr="009333E6">
        <w:rPr>
          <w:sz w:val="22"/>
          <w:szCs w:val="18"/>
        </w:rPr>
        <w:instrText>ADDIN CSL_CITATION {"citationItems":[{"id":"ITEM-1","itemData":{"DOI":"10.3390/IJERPH18168485","ISSN":"1660-4601","PMID":"34444231","abstract":"International evidence published so far shows that the COVID-19 pandemic has negatively impacted on global mental health. Specifically, there is some research suggesting that the psychological distress related to depression, anxiety and posttraumatic stress has impacted on the psychological well-being of the general population. Yet, there is limited evidence on the relational paths between COVID-19 traumatic distress and depression. Participants of this cross-sectional study were 456 adults 18 years old or older from the general population (Mean age = 41.2 years, SD = 11.7) who completed an online questionnaire including measures assessing depression, anxiety, resilience, hope and traumatic distress related to COVID-19. Structural equation modelling was applied to examine the proposed mediation model. The results confirmed the proposed model, with traumatic distress of COVID-19, resilience, anxiety and hope explaining a considerable amount of variance (59%) in depression scores. Traumatic distress of COVID-19 was a strong positive predictor of depression, while anxiety, hope and resilience were both joint and unique mediators of this relationship. Exposure to the COVID-19 pandemic is strongly associated with depression in adults of the general population. The co-occurrence of anxiety may negatively contribute to experiencing higher levels of depression, while resilience and hope may act as buffers against depression associated with the impact of this pandemic. Our findings suggest that wide community-based interventions designed to promote resilience, build hope and reduce anxiety may help mitigate depression associated with exposure to the COVID-19 pandemic.","author":[{"dropping-particle":"","family":"Nearchou","given":"Finiki","non-dropping-particle":"","parse-names":false,"suffix":""},{"dropping-particle":"","family":"Douglas","given":"Ellen","non-dropping-particle":"","parse-names":false,"suffix":""}],"container-title":"International journal of environmental research and public health","id":"ITEM-1","issue":"16","issued":{"date-parts":[["2021","8","2"]]},"publisher":"Int J Environ Res Public Health","title":"Traumatic Distress of COVID-19 and Depression in the General Population: Exploring the Role of Resilience, Anxiety, and Hope","type":"article-journal","volume":"18"},"uris":["http://www.mendeley.com/documents/?uuid=d56614cb-8273-3a4c-a4d5-b3985ab469dc"]},{"id":"ITEM-2","itemData":{"DOI":"10.1186/S13584-021-00489-3","ISSN":"20454015","PMID":"34526132","author":[{"dropping-particle":"","family":"Zach","given":"Sima","non-dropping-particle":"","parse-names":false,"suffix":""},{"dropping-particle":"","family":"Fernandez-Rio","given":"Javier","non-dropping-particle":"","parse-names":false,"suffix":""},{"dropping-particle":"","family":"Zeev","given":"Aviva","non-dropping-particle":"","parse-names":false,"suffix":""},{"dropping-particle":"","family":"Ophir","given":"Miki","non-dropping-particle":"","parse-names":false,"suffix":""},{"dropping-particle":"","family":"Eilat-Adar","given":"Sigal","non-dropping-particle":"","parse-names":false,"suffix":""}],"container-title":"Israel Journal of Health Policy Research","id":"ITEM-2","issue":"1","issued":{"date-parts":[["2021","12","1"]]},"page":"55","publisher":"BioMed Central","title":"Correction to: Physical activity, resilience, emotions, moods, and weight control, during the COVID-19 global crisis","type":"article-journal","volume":"10"},"uris":["http://www.mendeley.com/documents/?uuid=bae7089c-e5b6-326e-9dc4-30edbb3ed032"]}],"mendeley":{"formattedCitation":"[9], [10]","plainTextFormattedCitation":"[9], [10]","previouslyFormattedCitation":"[9], [10]"},"properties":{"noteIndex":0},"schema":"https://github.com/citation-style-language/schema/raw/master/csl-citation.json"}</w:instrText>
      </w:r>
      <w:r w:rsidRPr="009333E6">
        <w:rPr>
          <w:sz w:val="22"/>
          <w:szCs w:val="18"/>
        </w:rPr>
        <w:fldChar w:fldCharType="separate"/>
      </w:r>
      <w:r w:rsidR="009333E6" w:rsidRPr="009333E6">
        <w:rPr>
          <w:noProof/>
          <w:sz w:val="22"/>
          <w:szCs w:val="18"/>
        </w:rPr>
        <w:t>[9], [10]</w:t>
      </w:r>
      <w:r w:rsidRPr="009333E6">
        <w:rPr>
          <w:sz w:val="22"/>
          <w:szCs w:val="18"/>
        </w:rPr>
        <w:fldChar w:fldCharType="end"/>
      </w:r>
      <w:r w:rsidRPr="009333E6">
        <w:rPr>
          <w:sz w:val="22"/>
          <w:szCs w:val="18"/>
        </w:rPr>
        <w:t xml:space="preserve">. This shift in tourism preferences is also supported by the need to implement health protocols. Rural tourism is defined as tourism that showcases artistic, cultural and heritage life in rural areas </w:t>
      </w:r>
      <w:r w:rsidRPr="009333E6">
        <w:rPr>
          <w:sz w:val="22"/>
          <w:szCs w:val="18"/>
        </w:rPr>
        <w:fldChar w:fldCharType="begin" w:fldLock="1"/>
      </w:r>
      <w:r w:rsidR="009333E6" w:rsidRPr="009333E6">
        <w:rPr>
          <w:sz w:val="22"/>
          <w:szCs w:val="18"/>
        </w:rPr>
        <w:instrText>ADDIN CSL_CITATION {"citationItems":[{"id":"ITEM-1","itemData":{"DOI":"10.18111/9789284422173","abstract":"El 2020 es el Año del Turismo y el Desarrollo Rural, el mismo tema que comparte el Día Mundial del Turismo de este año. La sostenibilidad del turismo en las zonas rurales solo será posible si se adopta y ejecuta una estrategia de planificación global e inclusiva, basada en un enfoque participativo que cuente con múltiples acciones y con todos los agentes interesados. Las Recomendaciones de la OMT sobre Turismo y Desarrollo Rural aspiran a ayudar a los Gobiernos en sus diversos niveles, así como al sector privado y a la comunidad internacional, a fomentar el turismo en los territorios rurales de una manera que contribuya a un desarrollo inclusivo, sostenible y resiliente.","container-title":"UNWTO Recommendations on Tourism and Rural Development – A Guide to Making Tourism an Effective Tool for Rural Development","id":"ITEM-1","issued":{"date-parts":[["2020","9","28"]]},"publisher":"World Tourism Organization (UNWTO)","title":"UNWTO Recommendations on Tourism and Rural Development – A Guide to Making Tourism an Effective Tool for Rural Development","type":"article-journal"},"uris":["http://www.mendeley.com/documents/?uuid=016176d9-c3b0-3558-8eb8-9a7394c924de"]}],"mendeley":{"formattedCitation":"[11]","plainTextFormattedCitation":"[11]","previouslyFormattedCitation":"[11]"},"properties":{"noteIndex":0},"schema":"https://github.com/citation-style-language/schema/raw/master/csl-citation.json"}</w:instrText>
      </w:r>
      <w:r w:rsidRPr="009333E6">
        <w:rPr>
          <w:sz w:val="22"/>
          <w:szCs w:val="18"/>
        </w:rPr>
        <w:fldChar w:fldCharType="separate"/>
      </w:r>
      <w:r w:rsidR="009333E6" w:rsidRPr="009333E6">
        <w:rPr>
          <w:noProof/>
          <w:sz w:val="22"/>
          <w:szCs w:val="18"/>
        </w:rPr>
        <w:t>[11]</w:t>
      </w:r>
      <w:r w:rsidRPr="009333E6">
        <w:rPr>
          <w:sz w:val="22"/>
          <w:szCs w:val="18"/>
        </w:rPr>
        <w:fldChar w:fldCharType="end"/>
      </w:r>
      <w:r w:rsidRPr="009333E6">
        <w:rPr>
          <w:sz w:val="22"/>
          <w:szCs w:val="18"/>
        </w:rPr>
        <w:t xml:space="preserve">. Rural tourism, specifically, is also defined as </w:t>
      </w:r>
      <w:proofErr w:type="spellStart"/>
      <w:r w:rsidRPr="009333E6">
        <w:rPr>
          <w:sz w:val="22"/>
          <w:szCs w:val="18"/>
        </w:rPr>
        <w:t>agro</w:t>
      </w:r>
      <w:proofErr w:type="spellEnd"/>
      <w:r w:rsidRPr="009333E6">
        <w:rPr>
          <w:sz w:val="22"/>
          <w:szCs w:val="18"/>
        </w:rPr>
        <w:t xml:space="preserve">-tourism where tourism activities are integrated with agricultural activities of local communities </w:t>
      </w:r>
      <w:r w:rsidRPr="009333E6">
        <w:rPr>
          <w:sz w:val="22"/>
          <w:szCs w:val="18"/>
        </w:rPr>
        <w:fldChar w:fldCharType="begin" w:fldLock="1"/>
      </w:r>
      <w:r w:rsidR="009333E6" w:rsidRPr="009333E6">
        <w:rPr>
          <w:sz w:val="22"/>
          <w:szCs w:val="18"/>
        </w:rPr>
        <w:instrText>ADDIN CSL_CITATION {"citationItems":[{"id":"ITEM-1","itemData":{"DOI":"10.1080/02508281.2020.1753913","ISSN":"02508281","abstract":"This paper performs a systematic review of the research literature in the field of agritourism. In the study, using a structured literature review methodology, established as well as emerging research clusters have been identified for epistemological analysis. Such analysis helps in the identification of key research topics, interrelations, and collaboration patterns in the field of agritourism and other research areas involving similar concepts. Graphical mapping of the agritourism research field is done using visualization of similarities (VOS). VOS software analyzed bibliographic data of 459 research publications obtained from Web of Science and Scopus databases from a period of 1980–2019. This graphical mapping illustrated the authors’ and countries’ contributions, their collaboration, and publication pattern over the period. This paper gives insights about majorly studied research themes and also identified common areas of current research interest and potential directions for future research.","author":[{"dropping-particle":"","family":"Rauniyar","given":"Sourav","non-dropping-particle":"","parse-names":false,"suffix":""},{"dropping-particle":"","family":"Awasthi","given":"Maya Kant","non-dropping-particle":"","parse-names":false,"suffix":""},{"dropping-particle":"","family":"Kapoor","given":"Sanjeev","non-dropping-particle":"","parse-names":false,"suffix":""},{"dropping-particle":"","family":"Mishra","given":"Ashok K.","non-dropping-particle":"","parse-names":false,"suffix":""}],"container-title":"Tourism Recreation Research","id":"ITEM-1","issue":"1","issued":{"date-parts":[["2021"]]},"page":"52-70","publisher":"Taylor &amp; Francis","title":"Agritourism: structured literature review and bibliometric analysis","type":"article-journal","volume":"46"},"uris":["http://www.mendeley.com/documents/?uuid=afcc4f9d-dc24-4dec-91ee-bc0babb80462"]}],"mendeley":{"formattedCitation":"[12]","plainTextFormattedCitation":"[12]","previouslyFormattedCitation":"[12]"},"properties":{"noteIndex":0},"schema":"https://github.com/citation-style-language/schema/raw/master/csl-citation.json"}</w:instrText>
      </w:r>
      <w:r w:rsidRPr="009333E6">
        <w:rPr>
          <w:sz w:val="22"/>
          <w:szCs w:val="18"/>
        </w:rPr>
        <w:fldChar w:fldCharType="separate"/>
      </w:r>
      <w:r w:rsidR="009333E6" w:rsidRPr="009333E6">
        <w:rPr>
          <w:noProof/>
          <w:sz w:val="22"/>
          <w:szCs w:val="18"/>
        </w:rPr>
        <w:t>[12]</w:t>
      </w:r>
      <w:r w:rsidRPr="009333E6">
        <w:rPr>
          <w:sz w:val="22"/>
          <w:szCs w:val="18"/>
        </w:rPr>
        <w:fldChar w:fldCharType="end"/>
      </w:r>
      <w:r w:rsidRPr="009333E6">
        <w:rPr>
          <w:sz w:val="22"/>
          <w:szCs w:val="18"/>
        </w:rPr>
        <w:t>.</w:t>
      </w:r>
    </w:p>
    <w:p w14:paraId="6907198A" w14:textId="77777777" w:rsidR="005517DE" w:rsidRPr="009333E6" w:rsidRDefault="005517DE" w:rsidP="00D314F9">
      <w:pPr>
        <w:jc w:val="both"/>
        <w:rPr>
          <w:sz w:val="22"/>
          <w:szCs w:val="22"/>
        </w:rPr>
      </w:pPr>
    </w:p>
    <w:p w14:paraId="76C30760" w14:textId="03EB8C6C" w:rsidR="005517DE" w:rsidRPr="009333E6" w:rsidRDefault="005517DE" w:rsidP="00D314F9">
      <w:pPr>
        <w:jc w:val="both"/>
        <w:rPr>
          <w:sz w:val="22"/>
          <w:szCs w:val="22"/>
          <w:shd w:val="clear" w:color="auto" w:fill="FFFFFF"/>
        </w:rPr>
      </w:pPr>
      <w:r w:rsidRPr="009333E6">
        <w:rPr>
          <w:sz w:val="22"/>
          <w:szCs w:val="22"/>
          <w:shd w:val="clear" w:color="auto" w:fill="FFFFFF"/>
        </w:rPr>
        <w:lastRenderedPageBreak/>
        <w:t>In the context of tourism, as a specific activity for rural areas, concentrated in rural areas as a destination, offering functional accommodation structures and other special services. Rural tourism has been recognized as:</w:t>
      </w:r>
    </w:p>
    <w:p w14:paraId="05B069EC" w14:textId="77777777" w:rsidR="005517DE" w:rsidRPr="009333E6" w:rsidRDefault="005517DE" w:rsidP="00D314F9">
      <w:pPr>
        <w:pStyle w:val="ListParagraph"/>
        <w:numPr>
          <w:ilvl w:val="0"/>
          <w:numId w:val="34"/>
        </w:numPr>
        <w:spacing w:line="240" w:lineRule="auto"/>
        <w:ind w:left="426"/>
        <w:jc w:val="both"/>
        <w:rPr>
          <w:rFonts w:ascii="Times New Roman" w:hAnsi="Times New Roman" w:cs="Times New Roman"/>
          <w:shd w:val="clear" w:color="auto" w:fill="FFFFFF"/>
        </w:rPr>
      </w:pPr>
      <w:r w:rsidRPr="009333E6">
        <w:rPr>
          <w:rFonts w:ascii="Times New Roman" w:hAnsi="Times New Roman" w:cs="Times New Roman"/>
          <w:shd w:val="clear" w:color="auto" w:fill="FFFFFF"/>
        </w:rPr>
        <w:t>An alternative to the declining agricultural sector, which is unable to sustain the subsistence needs of the rural population</w:t>
      </w:r>
      <w:r w:rsidR="00D314F9" w:rsidRPr="009333E6">
        <w:rPr>
          <w:rFonts w:ascii="Times New Roman" w:hAnsi="Times New Roman" w:cs="Times New Roman"/>
          <w:shd w:val="clear" w:color="auto" w:fill="FFFFFF"/>
        </w:rPr>
        <w:t xml:space="preserve">; </w:t>
      </w:r>
    </w:p>
    <w:p w14:paraId="0970E77F" w14:textId="2888083A" w:rsidR="005517DE" w:rsidRPr="009333E6" w:rsidRDefault="005517DE" w:rsidP="00D314F9">
      <w:pPr>
        <w:pStyle w:val="ListParagraph"/>
        <w:numPr>
          <w:ilvl w:val="0"/>
          <w:numId w:val="34"/>
        </w:numPr>
        <w:spacing w:line="240" w:lineRule="auto"/>
        <w:ind w:left="426"/>
        <w:jc w:val="both"/>
        <w:rPr>
          <w:rFonts w:ascii="Times New Roman" w:hAnsi="Times New Roman" w:cs="Times New Roman"/>
          <w:shd w:val="clear" w:color="auto" w:fill="FFFFFF"/>
        </w:rPr>
      </w:pPr>
      <w:r w:rsidRPr="009333E6">
        <w:rPr>
          <w:rFonts w:ascii="Times New Roman" w:hAnsi="Times New Roman" w:cs="Times New Roman"/>
          <w:shd w:val="clear" w:color="auto" w:fill="FFFFFF"/>
        </w:rPr>
        <w:t>As a possibility to stimulate entrepreneurial opportunities for rural farmers, ensuring stability through the new jobs created</w:t>
      </w:r>
    </w:p>
    <w:p w14:paraId="7B2CFDFB" w14:textId="3F7A40E3" w:rsidR="005517DE" w:rsidRPr="009333E6" w:rsidRDefault="005517DE" w:rsidP="00D314F9">
      <w:pPr>
        <w:jc w:val="both"/>
        <w:rPr>
          <w:sz w:val="22"/>
          <w:szCs w:val="22"/>
          <w:shd w:val="clear" w:color="auto" w:fill="FFFFFF"/>
        </w:rPr>
      </w:pPr>
      <w:r w:rsidRPr="009333E6">
        <w:rPr>
          <w:sz w:val="22"/>
          <w:szCs w:val="22"/>
          <w:shd w:val="clear" w:color="auto" w:fill="FFFFFF"/>
        </w:rPr>
        <w:t xml:space="preserve">Among the forms of rural tourism, </w:t>
      </w:r>
      <w:proofErr w:type="spellStart"/>
      <w:r w:rsidRPr="009333E6">
        <w:rPr>
          <w:sz w:val="22"/>
          <w:szCs w:val="22"/>
          <w:shd w:val="clear" w:color="auto" w:fill="FFFFFF"/>
        </w:rPr>
        <w:t>agro</w:t>
      </w:r>
      <w:proofErr w:type="spellEnd"/>
      <w:r w:rsidRPr="009333E6">
        <w:rPr>
          <w:sz w:val="22"/>
          <w:szCs w:val="22"/>
          <w:shd w:val="clear" w:color="auto" w:fill="FFFFFF"/>
        </w:rPr>
        <w:t>-tourism is one of the potential areas of concern because it demands the maintenance of the original characteristics of rural areas under current development demands.</w:t>
      </w:r>
    </w:p>
    <w:p w14:paraId="58F1E05F" w14:textId="52398962" w:rsidR="005D00E5" w:rsidRPr="009333E6" w:rsidRDefault="005D00E5" w:rsidP="00D314F9">
      <w:pPr>
        <w:jc w:val="both"/>
        <w:rPr>
          <w:sz w:val="22"/>
          <w:szCs w:val="22"/>
        </w:rPr>
      </w:pPr>
    </w:p>
    <w:p w14:paraId="04584B86" w14:textId="0441113D" w:rsidR="005D00E5" w:rsidRPr="009333E6" w:rsidRDefault="005D00E5" w:rsidP="00D314F9">
      <w:pPr>
        <w:jc w:val="both"/>
        <w:rPr>
          <w:sz w:val="22"/>
          <w:szCs w:val="22"/>
        </w:rPr>
      </w:pPr>
      <w:r w:rsidRPr="009333E6">
        <w:rPr>
          <w:sz w:val="22"/>
          <w:szCs w:val="22"/>
        </w:rPr>
        <w:t xml:space="preserve">The same phenomenon also occurs in the study location, Batu City, East Java. The designation of Batu City as a National Tourism Destination (DPN) with a type of natural tourist attraction in the 2010-2025 National Tourism Development Master Plan as stipulated in the Government Regulation of the Republic of Indonesia Number 50 of 2011 has a direct impact on the development of infrastructure, infrastructure and public facilities, increasing empowerment community and investment development. Supporting this, the construction of a number of supporting infrastructure for the tourism sector in Batu City will encourage the growth and development rate of the city marked by an increase in population, increased economic and social interaction between interconnected areas that lead to spatial and a-spatial transformation in the Batu City area. In the transformation of the spatial aspect, it can be seen that Batu City has experienced an increase in residential land cover reaching 33% in the period 2013 – 2022. Meanwhile, in the a-spatial aspect, Batu City continues to experience urban growth and development, especially in the trade, agriculture, construction and accommodation provision sectors. in terms of GRDP data according to constant prices in 2013-2019 and population growth. GRDP as a measure of economic growth in Batu City has increased, but on the other hand, the development of tourism in Batu City continues to have an impact on the sustainability of </w:t>
      </w:r>
      <w:proofErr w:type="spellStart"/>
      <w:r w:rsidRPr="009333E6">
        <w:rPr>
          <w:sz w:val="22"/>
          <w:szCs w:val="22"/>
        </w:rPr>
        <w:t>agro</w:t>
      </w:r>
      <w:proofErr w:type="spellEnd"/>
      <w:r w:rsidRPr="009333E6">
        <w:rPr>
          <w:sz w:val="22"/>
          <w:szCs w:val="22"/>
        </w:rPr>
        <w:t>-tourism activities in Batu City.</w:t>
      </w:r>
    </w:p>
    <w:p w14:paraId="197416F3" w14:textId="77777777" w:rsidR="00E30449" w:rsidRPr="009333E6" w:rsidRDefault="00E30449" w:rsidP="00D314F9">
      <w:pPr>
        <w:jc w:val="both"/>
        <w:rPr>
          <w:sz w:val="22"/>
          <w:szCs w:val="22"/>
        </w:rPr>
      </w:pPr>
    </w:p>
    <w:p w14:paraId="68233174" w14:textId="48D7CDC0" w:rsidR="00D314F9" w:rsidRPr="009333E6" w:rsidRDefault="00581F07" w:rsidP="00D314F9">
      <w:pPr>
        <w:jc w:val="both"/>
        <w:rPr>
          <w:sz w:val="22"/>
          <w:szCs w:val="22"/>
          <w:shd w:val="clear" w:color="auto" w:fill="FFFFFF"/>
        </w:rPr>
      </w:pPr>
      <w:r w:rsidRPr="009333E6">
        <w:rPr>
          <w:sz w:val="22"/>
          <w:szCs w:val="22"/>
        </w:rPr>
        <w:t xml:space="preserve">Meanwhile, the intent and purpose of this research is to see the role of </w:t>
      </w:r>
      <w:proofErr w:type="spellStart"/>
      <w:r w:rsidRPr="009333E6">
        <w:rPr>
          <w:sz w:val="22"/>
          <w:szCs w:val="22"/>
        </w:rPr>
        <w:t>agro</w:t>
      </w:r>
      <w:proofErr w:type="spellEnd"/>
      <w:r w:rsidRPr="009333E6">
        <w:rPr>
          <w:sz w:val="22"/>
          <w:szCs w:val="22"/>
        </w:rPr>
        <w:t xml:space="preserve">-tourism in environmental sustainability. To be able to analyze the relationship between </w:t>
      </w:r>
      <w:proofErr w:type="spellStart"/>
      <w:r w:rsidRPr="009333E6">
        <w:rPr>
          <w:sz w:val="22"/>
          <w:szCs w:val="22"/>
        </w:rPr>
        <w:t>agro</w:t>
      </w:r>
      <w:proofErr w:type="spellEnd"/>
      <w:r w:rsidRPr="009333E6">
        <w:rPr>
          <w:sz w:val="22"/>
          <w:szCs w:val="22"/>
        </w:rPr>
        <w:t xml:space="preserve">-tourism and environmental sustainability, it was carried out by comparing the environmental performance of </w:t>
      </w:r>
      <w:proofErr w:type="spellStart"/>
      <w:r w:rsidRPr="009333E6">
        <w:rPr>
          <w:sz w:val="22"/>
          <w:szCs w:val="22"/>
        </w:rPr>
        <w:t>agro</w:t>
      </w:r>
      <w:proofErr w:type="spellEnd"/>
      <w:r w:rsidRPr="009333E6">
        <w:rPr>
          <w:sz w:val="22"/>
          <w:szCs w:val="22"/>
        </w:rPr>
        <w:t xml:space="preserve">-tourism in three different villages in Batu City with different vegetation characteristics, namely </w:t>
      </w:r>
      <w:proofErr w:type="spellStart"/>
      <w:r w:rsidRPr="009333E6">
        <w:rPr>
          <w:sz w:val="22"/>
          <w:szCs w:val="22"/>
        </w:rPr>
        <w:t>Sidomulyo</w:t>
      </w:r>
      <w:proofErr w:type="spellEnd"/>
      <w:r w:rsidRPr="009333E6">
        <w:rPr>
          <w:sz w:val="22"/>
          <w:szCs w:val="22"/>
        </w:rPr>
        <w:t xml:space="preserve"> Village with flower vegetation types, </w:t>
      </w:r>
      <w:proofErr w:type="spellStart"/>
      <w:r w:rsidRPr="009333E6">
        <w:rPr>
          <w:sz w:val="22"/>
          <w:szCs w:val="22"/>
        </w:rPr>
        <w:t>Sumbergondo</w:t>
      </w:r>
      <w:proofErr w:type="spellEnd"/>
      <w:r w:rsidRPr="009333E6">
        <w:rPr>
          <w:sz w:val="22"/>
          <w:szCs w:val="22"/>
        </w:rPr>
        <w:t xml:space="preserve"> Village with fruit (apple) plant vegetation types, and </w:t>
      </w:r>
      <w:proofErr w:type="spellStart"/>
      <w:r w:rsidRPr="009333E6">
        <w:rPr>
          <w:sz w:val="22"/>
          <w:szCs w:val="22"/>
        </w:rPr>
        <w:t>Tulungrejo</w:t>
      </w:r>
      <w:proofErr w:type="spellEnd"/>
      <w:r w:rsidRPr="009333E6">
        <w:rPr>
          <w:sz w:val="22"/>
          <w:szCs w:val="22"/>
        </w:rPr>
        <w:t xml:space="preserve"> Village with types of vegetable vegetation</w:t>
      </w:r>
      <w:r w:rsidR="00D314F9" w:rsidRPr="009333E6">
        <w:rPr>
          <w:sz w:val="22"/>
          <w:szCs w:val="22"/>
          <w:shd w:val="clear" w:color="auto" w:fill="FFFFFF"/>
        </w:rPr>
        <w:t>.</w:t>
      </w:r>
    </w:p>
    <w:p w14:paraId="3467DC90" w14:textId="2BE9A484" w:rsidR="00AC08DA" w:rsidRPr="009333E6" w:rsidRDefault="003E00BF" w:rsidP="00AC08DA">
      <w:pPr>
        <w:pStyle w:val="Heading1"/>
      </w:pPr>
      <w:r w:rsidRPr="009333E6">
        <w:lastRenderedPageBreak/>
        <w:t>Method</w:t>
      </w:r>
      <w:r w:rsidR="009E61B4" w:rsidRPr="009333E6">
        <w:t>s</w:t>
      </w:r>
    </w:p>
    <w:p w14:paraId="4AE1D003" w14:textId="79483087" w:rsidR="007508C4" w:rsidRPr="009333E6" w:rsidRDefault="009E61B4" w:rsidP="00100EB9">
      <w:pPr>
        <w:jc w:val="both"/>
        <w:rPr>
          <w:sz w:val="22"/>
          <w:szCs w:val="22"/>
        </w:rPr>
      </w:pPr>
      <w:r w:rsidRPr="009333E6">
        <w:rPr>
          <w:sz w:val="22"/>
          <w:szCs w:val="22"/>
        </w:rPr>
        <w:t xml:space="preserve">The research was conducted and placed in a rural area of Batu City, a region with high potential for </w:t>
      </w:r>
      <w:proofErr w:type="spellStart"/>
      <w:r w:rsidRPr="009333E6">
        <w:rPr>
          <w:sz w:val="22"/>
          <w:szCs w:val="22"/>
        </w:rPr>
        <w:t>agro</w:t>
      </w:r>
      <w:proofErr w:type="spellEnd"/>
      <w:r w:rsidRPr="009333E6">
        <w:rPr>
          <w:sz w:val="22"/>
          <w:szCs w:val="22"/>
        </w:rPr>
        <w:t xml:space="preserve">-tourism which can offer a wide variety of agricultural-based tourism products including vegetables, flowers and fruit. Where these three agricultural products depend on meeting water needs, therefore, three areas are selected which are developed from a vegetation point of view as </w:t>
      </w:r>
      <w:proofErr w:type="spellStart"/>
      <w:r w:rsidRPr="009333E6">
        <w:rPr>
          <w:sz w:val="22"/>
          <w:szCs w:val="22"/>
        </w:rPr>
        <w:t>agro</w:t>
      </w:r>
      <w:proofErr w:type="spellEnd"/>
      <w:r w:rsidRPr="009333E6">
        <w:rPr>
          <w:sz w:val="22"/>
          <w:szCs w:val="22"/>
        </w:rPr>
        <w:t>-tourism attractions selected, and compared using the Temperature Vegetation Dryness Index (TVDI) approach.</w:t>
      </w:r>
    </w:p>
    <w:p w14:paraId="7B4D843A" w14:textId="77777777" w:rsidR="009E61B4" w:rsidRPr="009333E6" w:rsidRDefault="009E61B4" w:rsidP="00100EB9">
      <w:pPr>
        <w:jc w:val="both"/>
        <w:rPr>
          <w:sz w:val="22"/>
          <w:szCs w:val="22"/>
        </w:rPr>
      </w:pPr>
    </w:p>
    <w:p w14:paraId="1A34E79E" w14:textId="07214971" w:rsidR="007508C4" w:rsidRPr="009333E6" w:rsidRDefault="009E61B4" w:rsidP="00100EB9">
      <w:pPr>
        <w:jc w:val="both"/>
        <w:rPr>
          <w:sz w:val="22"/>
          <w:szCs w:val="22"/>
        </w:rPr>
      </w:pPr>
      <w:r w:rsidRPr="009333E6">
        <w:rPr>
          <w:sz w:val="22"/>
          <w:szCs w:val="22"/>
        </w:rPr>
        <w:t xml:space="preserve">TVDI is a drought index based on the sensitivity spectrum of visible and near infrared light on vegetation behavior and vegetation stress conditions associated with water shortages. In general, NDVI, the Normalized Vegetation Index will increase along with a decrease in surface temperature (LST). This is related to the ability of vegetation to regulate temperature through latent heat transfer, namely heat transfer through evapotranspiration. Radiation absorbed and the amount of water available at the soil surface are the two main elements that regulate surface temperature. When the availability of water becomes minimal whether the land is vegetated or not, the surface temperature will increase. The consideration for using the TVDI approach in this study is because TVDI shows better linearity in vegetation density under existing conditions </w:t>
      </w:r>
      <w:r w:rsidRPr="009333E6">
        <w:rPr>
          <w:sz w:val="22"/>
          <w:szCs w:val="22"/>
        </w:rPr>
        <w:fldChar w:fldCharType="begin" w:fldLock="1"/>
      </w:r>
      <w:r w:rsidR="009333E6" w:rsidRPr="009333E6">
        <w:rPr>
          <w:sz w:val="22"/>
          <w:szCs w:val="22"/>
        </w:rPr>
        <w:instrText>ADDIN CSL_CITATION {"citationItems":[{"id":"ITEM-1","itemData":{"DOI":"10.1109/igarss.2002.1026867","ISBN":"078037536X","abstract":"In this study, we present a new vegetation index, the TDVI: Transformed Difference Vegetation Index. This index shows the same sensitivity as the Soil Adjusted Vegetation Index (SAVI) to the optical proprieties of bare soil subjacent to the cover. It does not saturate like NDVI and SAVI and it shows an excellent linearity as a function of the rate of vegetation cover.","author":[{"dropping-particle":"","family":"Bannari","given":"A.","non-dropping-particle":"","parse-names":false,"suffix":""},{"dropping-particle":"","family":"Asalhi","given":"H.","non-dropping-particle":"","parse-names":false,"suffix":""},{"dropping-particle":"","family":"Teillet","given":"P. M.","non-dropping-particle":"","parse-names":false,"suffix":""}],"container-title":"International Geoscience and Remote Sensing Symposium (IGARSS)","id":"ITEM-1","issue":"March","issued":{"date-parts":[["2002"]]},"page":"3053-3055","title":"Transformed difference vegetation index (TDVI) for vegetation cover mapping","type":"article-journal","volume":"5"},"uris":["http://www.mendeley.com/documents/?uuid=bffeefbd-e43f-40eb-a535-88fac6d46317"]}],"mendeley":{"formattedCitation":"[13]","plainTextFormattedCitation":"[13]","previouslyFormattedCitation":"[13]"},"properties":{"noteIndex":0},"schema":"https://github.com/citation-style-language/schema/raw/master/csl-citation.json"}</w:instrText>
      </w:r>
      <w:r w:rsidRPr="009333E6">
        <w:rPr>
          <w:sz w:val="22"/>
          <w:szCs w:val="22"/>
        </w:rPr>
        <w:fldChar w:fldCharType="separate"/>
      </w:r>
      <w:r w:rsidR="009333E6" w:rsidRPr="009333E6">
        <w:rPr>
          <w:noProof/>
          <w:sz w:val="22"/>
          <w:szCs w:val="22"/>
        </w:rPr>
        <w:t>[13]</w:t>
      </w:r>
      <w:r w:rsidRPr="009333E6">
        <w:rPr>
          <w:sz w:val="22"/>
          <w:szCs w:val="22"/>
        </w:rPr>
        <w:fldChar w:fldCharType="end"/>
      </w:r>
      <w:r w:rsidRPr="009333E6">
        <w:rPr>
          <w:sz w:val="22"/>
          <w:szCs w:val="22"/>
        </w:rPr>
        <w:t>. Following are the details of the equations used in the study:</w:t>
      </w:r>
    </w:p>
    <w:p w14:paraId="3AC9EE62" w14:textId="77777777" w:rsidR="009E61B4" w:rsidRPr="009333E6" w:rsidRDefault="009E61B4" w:rsidP="00100EB9">
      <w:pPr>
        <w:jc w:val="both"/>
        <w:rPr>
          <w:sz w:val="22"/>
          <w:szCs w:val="22"/>
        </w:rPr>
      </w:pPr>
    </w:p>
    <w:p w14:paraId="72F4D9EF" w14:textId="27E5BE6F" w:rsidR="00100EB9" w:rsidRPr="009333E6" w:rsidRDefault="007508C4" w:rsidP="007508C4">
      <w:pPr>
        <w:rPr>
          <w:b/>
          <w:bCs/>
          <w:sz w:val="22"/>
          <w:szCs w:val="22"/>
        </w:rPr>
      </w:pPr>
      <w:r w:rsidRPr="009333E6">
        <w:rPr>
          <w:b/>
          <w:bCs/>
          <w:sz w:val="22"/>
          <w:szCs w:val="22"/>
        </w:rPr>
        <w:t xml:space="preserve">                                           </w:t>
      </w:r>
      <w:r w:rsidR="00100EB9" w:rsidRPr="009333E6">
        <w:rPr>
          <w:b/>
          <w:bCs/>
          <w:sz w:val="22"/>
          <w:szCs w:val="22"/>
        </w:rPr>
        <w:t>NDVI =</w:t>
      </w:r>
      <m:oMath>
        <m:f>
          <m:fPr>
            <m:ctrlPr>
              <w:rPr>
                <w:rFonts w:ascii="Cambria Math" w:hAnsi="Cambria Math"/>
                <w:b/>
                <w:bCs/>
                <w:i/>
                <w:sz w:val="22"/>
                <w:szCs w:val="22"/>
              </w:rPr>
            </m:ctrlPr>
          </m:fPr>
          <m:num>
            <m:d>
              <m:dPr>
                <m:ctrlPr>
                  <w:rPr>
                    <w:rFonts w:ascii="Cambria Math" w:hAnsi="Cambria Math"/>
                    <w:b/>
                    <w:bCs/>
                    <w:i/>
                    <w:sz w:val="22"/>
                    <w:szCs w:val="22"/>
                  </w:rPr>
                </m:ctrlPr>
              </m:dPr>
              <m:e>
                <m:r>
                  <m:rPr>
                    <m:sty m:val="bi"/>
                  </m:rPr>
                  <w:rPr>
                    <w:rFonts w:ascii="Cambria Math" w:hAnsi="Cambria Math"/>
                    <w:sz w:val="22"/>
                    <w:szCs w:val="22"/>
                  </w:rPr>
                  <m:t>ρBOANIR - ρBOARED</m:t>
                </m:r>
              </m:e>
            </m:d>
          </m:num>
          <m:den>
            <m:r>
              <m:rPr>
                <m:sty m:val="bi"/>
              </m:rPr>
              <w:rPr>
                <w:rFonts w:ascii="Cambria Math" w:hAnsi="Cambria Math"/>
                <w:sz w:val="22"/>
                <w:szCs w:val="22"/>
              </w:rPr>
              <m:t>(ρBOANIR+  ρBOARED)</m:t>
            </m:r>
          </m:den>
        </m:f>
      </m:oMath>
      <w:r w:rsidR="00100EB9" w:rsidRPr="009333E6">
        <w:rPr>
          <w:b/>
          <w:bCs/>
          <w:sz w:val="22"/>
          <w:szCs w:val="22"/>
        </w:rPr>
        <w:t>,</w:t>
      </w:r>
      <w:r w:rsidRPr="009333E6">
        <w:rPr>
          <w:b/>
          <w:bCs/>
          <w:sz w:val="22"/>
          <w:szCs w:val="22"/>
        </w:rPr>
        <w:t xml:space="preserve">                              </w:t>
      </w:r>
      <w:proofErr w:type="gramStart"/>
      <w:r w:rsidRPr="009333E6">
        <w:rPr>
          <w:b/>
          <w:bCs/>
          <w:sz w:val="22"/>
          <w:szCs w:val="22"/>
        </w:rPr>
        <w:t xml:space="preserve">   (</w:t>
      </w:r>
      <w:proofErr w:type="gramEnd"/>
      <w:r w:rsidRPr="009333E6">
        <w:rPr>
          <w:b/>
          <w:bCs/>
          <w:sz w:val="22"/>
          <w:szCs w:val="22"/>
        </w:rPr>
        <w:t>1)</w:t>
      </w:r>
    </w:p>
    <w:p w14:paraId="3D064E78" w14:textId="77777777" w:rsidR="007508C4" w:rsidRPr="009333E6" w:rsidRDefault="007508C4" w:rsidP="00100EB9">
      <w:pPr>
        <w:ind w:left="360"/>
        <w:jc w:val="center"/>
        <w:rPr>
          <w:b/>
          <w:bCs/>
          <w:sz w:val="22"/>
          <w:szCs w:val="22"/>
        </w:rPr>
      </w:pPr>
    </w:p>
    <w:p w14:paraId="36599F35" w14:textId="601FD296" w:rsidR="00100EB9" w:rsidRPr="009333E6" w:rsidRDefault="007508C4" w:rsidP="007508C4">
      <w:pPr>
        <w:ind w:left="360"/>
        <w:rPr>
          <w:b/>
          <w:bCs/>
          <w:sz w:val="22"/>
          <w:szCs w:val="22"/>
        </w:rPr>
      </w:pPr>
      <w:r w:rsidRPr="009333E6">
        <w:rPr>
          <w:b/>
          <w:bCs/>
          <w:sz w:val="22"/>
          <w:szCs w:val="22"/>
        </w:rPr>
        <w:t xml:space="preserve">                                       </w:t>
      </w:r>
      <w:r w:rsidR="00100EB9" w:rsidRPr="009333E6">
        <w:rPr>
          <w:b/>
          <w:bCs/>
          <w:sz w:val="22"/>
          <w:szCs w:val="22"/>
        </w:rPr>
        <w:t xml:space="preserve">LST = </w:t>
      </w:r>
      <m:oMath>
        <m:f>
          <m:fPr>
            <m:ctrlPr>
              <w:rPr>
                <w:rFonts w:ascii="Cambria Math" w:hAnsi="Cambria Math"/>
                <w:b/>
                <w:bCs/>
                <w:i/>
                <w:sz w:val="22"/>
                <w:szCs w:val="22"/>
              </w:rPr>
            </m:ctrlPr>
          </m:fPr>
          <m:num>
            <m:r>
              <m:rPr>
                <m:sty m:val="bi"/>
              </m:rPr>
              <w:rPr>
                <w:rFonts w:ascii="Cambria Math" w:hAnsi="Cambria Math"/>
                <w:sz w:val="22"/>
                <w:szCs w:val="22"/>
              </w:rPr>
              <m:t>Tb</m:t>
            </m:r>
          </m:num>
          <m:den>
            <m:r>
              <m:rPr>
                <m:sty m:val="bi"/>
              </m:rPr>
              <w:rPr>
                <w:rFonts w:ascii="Cambria Math" w:hAnsi="Cambria Math"/>
                <w:sz w:val="22"/>
                <w:szCs w:val="22"/>
              </w:rPr>
              <m:t>1+(λ*</m:t>
            </m:r>
            <m:f>
              <m:fPr>
                <m:ctrlPr>
                  <w:rPr>
                    <w:rFonts w:ascii="Cambria Math" w:hAnsi="Cambria Math"/>
                    <w:b/>
                    <w:i/>
                    <w:sz w:val="22"/>
                    <w:szCs w:val="22"/>
                  </w:rPr>
                </m:ctrlPr>
              </m:fPr>
              <m:num>
                <m:r>
                  <m:rPr>
                    <m:sty m:val="bi"/>
                  </m:rPr>
                  <w:rPr>
                    <w:rFonts w:ascii="Cambria Math" w:hAnsi="Cambria Math"/>
                    <w:sz w:val="22"/>
                    <w:szCs w:val="22"/>
                  </w:rPr>
                  <m:t>Tb</m:t>
                </m:r>
              </m:num>
              <m:den>
                <m:r>
                  <m:rPr>
                    <m:sty m:val="bi"/>
                  </m:rPr>
                  <w:rPr>
                    <w:rFonts w:ascii="Cambria Math" w:hAnsi="Cambria Math"/>
                    <w:sz w:val="22"/>
                    <w:szCs w:val="22"/>
                  </w:rPr>
                  <m:t>ρ</m:t>
                </m:r>
              </m:den>
            </m:f>
            <m:r>
              <m:rPr>
                <m:sty m:val="bi"/>
              </m:rPr>
              <w:rPr>
                <w:rFonts w:ascii="Cambria Math" w:hAnsi="Cambria Math"/>
                <w:sz w:val="22"/>
                <w:szCs w:val="22"/>
              </w:rPr>
              <m:t>*lnε)</m:t>
            </m:r>
          </m:den>
        </m:f>
        <m:r>
          <m:rPr>
            <m:sty m:val="bi"/>
          </m:rPr>
          <w:rPr>
            <w:rFonts w:ascii="Cambria Math" w:hAnsi="Cambria Math"/>
            <w:sz w:val="22"/>
            <w:szCs w:val="22"/>
          </w:rPr>
          <m:t xml:space="preserve">  </m:t>
        </m:r>
      </m:oMath>
      <w:r w:rsidRPr="009333E6">
        <w:rPr>
          <w:b/>
          <w:sz w:val="22"/>
          <w:szCs w:val="22"/>
        </w:rPr>
        <w:t xml:space="preserve">                                           </w:t>
      </w:r>
      <w:proofErr w:type="gramStart"/>
      <w:r w:rsidRPr="009333E6">
        <w:rPr>
          <w:b/>
          <w:sz w:val="22"/>
          <w:szCs w:val="22"/>
        </w:rPr>
        <w:t xml:space="preserve">   (</w:t>
      </w:r>
      <w:proofErr w:type="gramEnd"/>
      <w:r w:rsidRPr="009333E6">
        <w:rPr>
          <w:b/>
          <w:sz w:val="22"/>
          <w:szCs w:val="22"/>
        </w:rPr>
        <w:t>2)</w:t>
      </w:r>
    </w:p>
    <w:p w14:paraId="273D97FC" w14:textId="756CEF2D" w:rsidR="00100EB9" w:rsidRPr="009333E6" w:rsidRDefault="00BD1892" w:rsidP="007508C4">
      <w:pPr>
        <w:ind w:left="360"/>
        <w:rPr>
          <w:b/>
          <w:bCs/>
          <w:sz w:val="22"/>
          <w:szCs w:val="22"/>
        </w:rPr>
      </w:pPr>
      <w:r w:rsidRPr="009333E6">
        <w:rPr>
          <w:b/>
          <w:bCs/>
          <w:sz w:val="22"/>
          <w:szCs w:val="22"/>
        </w:rPr>
        <w:t xml:space="preserve">                                  </w:t>
      </w:r>
      <w:r w:rsidR="00100EB9" w:rsidRPr="009333E6">
        <w:rPr>
          <w:b/>
          <w:bCs/>
          <w:sz w:val="22"/>
          <w:szCs w:val="22"/>
        </w:rPr>
        <w:t xml:space="preserve">TVDI= </w:t>
      </w:r>
      <m:oMath>
        <m:f>
          <m:fPr>
            <m:ctrlPr>
              <w:rPr>
                <w:rFonts w:ascii="Cambria Math" w:hAnsi="Cambria Math"/>
                <w:b/>
                <w:bCs/>
                <w:i/>
                <w:sz w:val="22"/>
                <w:szCs w:val="22"/>
              </w:rPr>
            </m:ctrlPr>
          </m:fPr>
          <m:num>
            <m:d>
              <m:dPr>
                <m:ctrlPr>
                  <w:rPr>
                    <w:rFonts w:ascii="Cambria Math" w:hAnsi="Cambria Math"/>
                    <w:b/>
                    <w:bCs/>
                    <w:i/>
                    <w:sz w:val="22"/>
                    <w:szCs w:val="22"/>
                  </w:rPr>
                </m:ctrlPr>
              </m:dPr>
              <m:e>
                <m:r>
                  <m:rPr>
                    <m:sty m:val="bi"/>
                  </m:rPr>
                  <w:rPr>
                    <w:rFonts w:ascii="Cambria Math" w:hAnsi="Cambria Math"/>
                    <w:sz w:val="22"/>
                    <w:szCs w:val="22"/>
                  </w:rPr>
                  <m:t>LST-LST min</m:t>
                </m:r>
              </m:e>
            </m:d>
          </m:num>
          <m:den>
            <m:r>
              <m:rPr>
                <m:sty m:val="bi"/>
              </m:rPr>
              <w:rPr>
                <w:rFonts w:ascii="Cambria Math" w:hAnsi="Cambria Math"/>
                <w:sz w:val="22"/>
                <w:szCs w:val="22"/>
              </w:rPr>
              <m:t>(LSTmax-LSTmin)</m:t>
            </m:r>
          </m:den>
        </m:f>
      </m:oMath>
      <w:r w:rsidR="00100EB9" w:rsidRPr="009333E6">
        <w:rPr>
          <w:b/>
          <w:bCs/>
          <w:sz w:val="22"/>
          <w:szCs w:val="22"/>
        </w:rPr>
        <w:t xml:space="preserve">, </w:t>
      </w:r>
      <w:r w:rsidR="007508C4" w:rsidRPr="009333E6">
        <w:rPr>
          <w:b/>
          <w:bCs/>
          <w:sz w:val="22"/>
          <w:szCs w:val="22"/>
        </w:rPr>
        <w:t xml:space="preserve"> </w:t>
      </w:r>
      <w:r w:rsidRPr="009333E6">
        <w:rPr>
          <w:b/>
          <w:bCs/>
          <w:sz w:val="22"/>
          <w:szCs w:val="22"/>
        </w:rPr>
        <w:t xml:space="preserve">                                     </w:t>
      </w:r>
      <w:proofErr w:type="gramStart"/>
      <w:r w:rsidRPr="009333E6">
        <w:rPr>
          <w:b/>
          <w:bCs/>
          <w:sz w:val="22"/>
          <w:szCs w:val="22"/>
        </w:rPr>
        <w:t xml:space="preserve">   </w:t>
      </w:r>
      <w:r w:rsidR="007508C4" w:rsidRPr="009333E6">
        <w:rPr>
          <w:b/>
          <w:bCs/>
          <w:sz w:val="22"/>
          <w:szCs w:val="22"/>
        </w:rPr>
        <w:t>(</w:t>
      </w:r>
      <w:proofErr w:type="gramEnd"/>
      <w:r w:rsidR="007508C4" w:rsidRPr="009333E6">
        <w:rPr>
          <w:b/>
          <w:bCs/>
          <w:sz w:val="22"/>
          <w:szCs w:val="22"/>
        </w:rPr>
        <w:t>3)</w:t>
      </w:r>
    </w:p>
    <w:p w14:paraId="00FC6F53" w14:textId="6F2082F0" w:rsidR="00100EB9" w:rsidRPr="009333E6" w:rsidRDefault="00100EB9" w:rsidP="00100EB9">
      <w:pPr>
        <w:ind w:left="360"/>
        <w:jc w:val="both"/>
        <w:rPr>
          <w:b/>
          <w:bCs/>
          <w:sz w:val="22"/>
          <w:szCs w:val="22"/>
        </w:rPr>
      </w:pPr>
      <w:r w:rsidRPr="009333E6">
        <w:rPr>
          <w:b/>
          <w:bCs/>
          <w:sz w:val="22"/>
          <w:szCs w:val="22"/>
        </w:rPr>
        <w:t xml:space="preserve">Keterangan: </w:t>
      </w:r>
    </w:p>
    <w:p w14:paraId="4D4C191D" w14:textId="77777777" w:rsidR="00BD1892" w:rsidRPr="009333E6" w:rsidRDefault="00BD1892" w:rsidP="00100EB9">
      <w:pPr>
        <w:ind w:left="360"/>
        <w:jc w:val="both"/>
        <w:rPr>
          <w:b/>
          <w:bCs/>
          <w:sz w:val="22"/>
          <w:szCs w:val="22"/>
        </w:rPr>
      </w:pPr>
    </w:p>
    <w:p w14:paraId="6F476F48" w14:textId="77777777" w:rsidR="00100EB9" w:rsidRPr="009333E6" w:rsidRDefault="00100EB9" w:rsidP="00100EB9">
      <w:pPr>
        <w:ind w:left="360"/>
        <w:jc w:val="both"/>
        <w:rPr>
          <w:sz w:val="22"/>
          <w:szCs w:val="22"/>
        </w:rPr>
      </w:pPr>
      <w:r w:rsidRPr="009333E6">
        <w:rPr>
          <w:sz w:val="22"/>
          <w:szCs w:val="22"/>
        </w:rPr>
        <w:t>NDVI</w:t>
      </w:r>
      <w:r w:rsidRPr="009333E6">
        <w:rPr>
          <w:sz w:val="22"/>
          <w:szCs w:val="22"/>
        </w:rPr>
        <w:tab/>
        <w:t>: Normalized Difference Vegetation Index</w:t>
      </w:r>
    </w:p>
    <w:p w14:paraId="22851CD6" w14:textId="77777777" w:rsidR="00100EB9" w:rsidRPr="009333E6" w:rsidRDefault="00100EB9" w:rsidP="00100EB9">
      <w:pPr>
        <w:ind w:left="360"/>
        <w:jc w:val="both"/>
        <w:rPr>
          <w:sz w:val="22"/>
          <w:szCs w:val="22"/>
        </w:rPr>
      </w:pPr>
      <w:proofErr w:type="spellStart"/>
      <w:r w:rsidRPr="009333E6">
        <w:rPr>
          <w:sz w:val="22"/>
          <w:szCs w:val="22"/>
        </w:rPr>
        <w:t>LSTmin</w:t>
      </w:r>
      <w:proofErr w:type="spellEnd"/>
      <w:r w:rsidRPr="009333E6">
        <w:rPr>
          <w:sz w:val="22"/>
          <w:szCs w:val="22"/>
        </w:rPr>
        <w:tab/>
        <w:t>: Minimum Surface Temperature</w:t>
      </w:r>
    </w:p>
    <w:p w14:paraId="67B01089" w14:textId="77777777" w:rsidR="00100EB9" w:rsidRPr="009333E6" w:rsidRDefault="00100EB9" w:rsidP="00100EB9">
      <w:pPr>
        <w:ind w:left="360"/>
        <w:jc w:val="both"/>
        <w:rPr>
          <w:sz w:val="22"/>
          <w:szCs w:val="22"/>
        </w:rPr>
      </w:pPr>
      <w:proofErr w:type="spellStart"/>
      <w:r w:rsidRPr="009333E6">
        <w:rPr>
          <w:sz w:val="22"/>
          <w:szCs w:val="22"/>
        </w:rPr>
        <w:t>LSTmax</w:t>
      </w:r>
      <w:proofErr w:type="spellEnd"/>
      <w:r w:rsidRPr="009333E6">
        <w:rPr>
          <w:sz w:val="22"/>
          <w:szCs w:val="22"/>
        </w:rPr>
        <w:tab/>
        <w:t>: Maximum Surface Temperature</w:t>
      </w:r>
    </w:p>
    <w:p w14:paraId="68774CF5" w14:textId="77777777" w:rsidR="00100EB9" w:rsidRPr="009333E6" w:rsidRDefault="00100EB9" w:rsidP="00100EB9">
      <w:pPr>
        <w:ind w:left="360"/>
        <w:jc w:val="both"/>
        <w:rPr>
          <w:sz w:val="22"/>
          <w:szCs w:val="22"/>
        </w:rPr>
      </w:pPr>
      <w:r w:rsidRPr="009333E6">
        <w:rPr>
          <w:sz w:val="22"/>
          <w:szCs w:val="22"/>
        </w:rPr>
        <w:t>LST</w:t>
      </w:r>
      <w:r w:rsidRPr="009333E6">
        <w:rPr>
          <w:sz w:val="22"/>
          <w:szCs w:val="22"/>
        </w:rPr>
        <w:tab/>
        <w:t>: The observed surface temperature at a Pixels</w:t>
      </w:r>
    </w:p>
    <w:p w14:paraId="43D03024" w14:textId="15A13874" w:rsidR="00100EB9" w:rsidRPr="009333E6" w:rsidRDefault="00100EB9" w:rsidP="00100EB9">
      <w:pPr>
        <w:ind w:left="360"/>
        <w:jc w:val="both"/>
        <w:rPr>
          <w:sz w:val="22"/>
          <w:szCs w:val="22"/>
        </w:rPr>
      </w:pPr>
      <w:r w:rsidRPr="009333E6">
        <w:rPr>
          <w:sz w:val="22"/>
          <w:szCs w:val="22"/>
        </w:rPr>
        <w:t>TVDI</w:t>
      </w:r>
      <w:r w:rsidRPr="009333E6">
        <w:rPr>
          <w:sz w:val="22"/>
          <w:szCs w:val="22"/>
        </w:rPr>
        <w:tab/>
        <w:t>: Temperature Vegetation Dryness Index</w:t>
      </w:r>
    </w:p>
    <w:p w14:paraId="64FF7B40" w14:textId="77777777" w:rsidR="00E30449" w:rsidRPr="009333E6" w:rsidRDefault="00E30449" w:rsidP="00100EB9">
      <w:pPr>
        <w:ind w:left="360"/>
        <w:jc w:val="both"/>
        <w:rPr>
          <w:sz w:val="22"/>
          <w:szCs w:val="22"/>
        </w:rPr>
      </w:pPr>
    </w:p>
    <w:p w14:paraId="24D3A674" w14:textId="49BD796A" w:rsidR="00100EB9" w:rsidRPr="009333E6" w:rsidRDefault="00DB1BCF" w:rsidP="00100EB9">
      <w:pPr>
        <w:pStyle w:val="Caption"/>
        <w:spacing w:after="0"/>
        <w:rPr>
          <w:rFonts w:ascii="Times New Roman" w:hAnsi="Times New Roman" w:cs="Times New Roman"/>
          <w:i w:val="0"/>
          <w:iCs w:val="0"/>
          <w:color w:val="auto"/>
          <w:sz w:val="22"/>
          <w:szCs w:val="22"/>
        </w:rPr>
      </w:pPr>
      <w:r w:rsidRPr="009333E6">
        <w:rPr>
          <w:rFonts w:ascii="Times New Roman" w:hAnsi="Times New Roman" w:cs="Times New Roman"/>
          <w:b/>
          <w:bCs/>
          <w:i w:val="0"/>
          <w:iCs w:val="0"/>
          <w:color w:val="auto"/>
          <w:sz w:val="22"/>
          <w:szCs w:val="22"/>
        </w:rPr>
        <w:t>Table</w:t>
      </w:r>
      <w:r w:rsidR="00100EB9" w:rsidRPr="009333E6">
        <w:rPr>
          <w:rFonts w:ascii="Times New Roman" w:hAnsi="Times New Roman" w:cs="Times New Roman"/>
          <w:b/>
          <w:bCs/>
          <w:i w:val="0"/>
          <w:iCs w:val="0"/>
          <w:color w:val="auto"/>
          <w:sz w:val="22"/>
          <w:szCs w:val="22"/>
        </w:rPr>
        <w:t xml:space="preserve"> </w:t>
      </w:r>
      <w:r w:rsidR="00100EB9" w:rsidRPr="009333E6">
        <w:rPr>
          <w:rFonts w:ascii="Times New Roman" w:hAnsi="Times New Roman" w:cs="Times New Roman"/>
          <w:b/>
          <w:bCs/>
          <w:i w:val="0"/>
          <w:iCs w:val="0"/>
          <w:color w:val="auto"/>
          <w:sz w:val="22"/>
          <w:szCs w:val="22"/>
        </w:rPr>
        <w:fldChar w:fldCharType="begin"/>
      </w:r>
      <w:r w:rsidR="00100EB9" w:rsidRPr="009333E6">
        <w:rPr>
          <w:rFonts w:ascii="Times New Roman" w:hAnsi="Times New Roman" w:cs="Times New Roman"/>
          <w:b/>
          <w:bCs/>
          <w:i w:val="0"/>
          <w:iCs w:val="0"/>
          <w:color w:val="auto"/>
          <w:sz w:val="22"/>
          <w:szCs w:val="22"/>
        </w:rPr>
        <w:instrText xml:space="preserve"> SEQ Tabel \* ARABIC </w:instrText>
      </w:r>
      <w:r w:rsidR="00100EB9" w:rsidRPr="009333E6">
        <w:rPr>
          <w:rFonts w:ascii="Times New Roman" w:hAnsi="Times New Roman" w:cs="Times New Roman"/>
          <w:b/>
          <w:bCs/>
          <w:i w:val="0"/>
          <w:iCs w:val="0"/>
          <w:color w:val="auto"/>
          <w:sz w:val="22"/>
          <w:szCs w:val="22"/>
        </w:rPr>
        <w:fldChar w:fldCharType="separate"/>
      </w:r>
      <w:r w:rsidR="00FE0125">
        <w:rPr>
          <w:rFonts w:ascii="Times New Roman" w:hAnsi="Times New Roman" w:cs="Times New Roman"/>
          <w:b/>
          <w:bCs/>
          <w:i w:val="0"/>
          <w:iCs w:val="0"/>
          <w:noProof/>
          <w:color w:val="auto"/>
          <w:sz w:val="22"/>
          <w:szCs w:val="22"/>
        </w:rPr>
        <w:t>1</w:t>
      </w:r>
      <w:r w:rsidR="00100EB9" w:rsidRPr="009333E6">
        <w:rPr>
          <w:rFonts w:ascii="Times New Roman" w:hAnsi="Times New Roman" w:cs="Times New Roman"/>
          <w:b/>
          <w:bCs/>
          <w:i w:val="0"/>
          <w:iCs w:val="0"/>
          <w:color w:val="auto"/>
          <w:sz w:val="22"/>
          <w:szCs w:val="22"/>
        </w:rPr>
        <w:fldChar w:fldCharType="end"/>
      </w:r>
      <w:r w:rsidR="00100EB9" w:rsidRPr="009333E6">
        <w:rPr>
          <w:rFonts w:ascii="Times New Roman" w:hAnsi="Times New Roman" w:cs="Times New Roman"/>
          <w:b/>
          <w:bCs/>
          <w:i w:val="0"/>
          <w:iCs w:val="0"/>
          <w:color w:val="auto"/>
          <w:sz w:val="22"/>
          <w:szCs w:val="22"/>
        </w:rPr>
        <w:t xml:space="preserve"> </w:t>
      </w:r>
      <w:r w:rsidRPr="009333E6">
        <w:rPr>
          <w:rFonts w:ascii="Times New Roman" w:hAnsi="Times New Roman" w:cs="Times New Roman"/>
          <w:i w:val="0"/>
          <w:iCs w:val="0"/>
          <w:color w:val="auto"/>
          <w:sz w:val="22"/>
          <w:szCs w:val="22"/>
          <w:lang w:val="id-ID"/>
        </w:rPr>
        <w:t>Dryness Index According to</w:t>
      </w:r>
      <w:r w:rsidR="00100EB9" w:rsidRPr="009333E6">
        <w:rPr>
          <w:rFonts w:ascii="Times New Roman" w:hAnsi="Times New Roman" w:cs="Times New Roman"/>
          <w:i w:val="0"/>
          <w:iCs w:val="0"/>
          <w:color w:val="auto"/>
          <w:sz w:val="22"/>
          <w:szCs w:val="22"/>
        </w:rPr>
        <w:t xml:space="preserve"> </w:t>
      </w:r>
      <w:r w:rsidR="00B1478F" w:rsidRPr="009333E6">
        <w:rPr>
          <w:rFonts w:ascii="Times New Roman" w:hAnsi="Times New Roman" w:cs="Times New Roman"/>
          <w:i w:val="0"/>
          <w:iCs w:val="0"/>
          <w:color w:val="auto"/>
          <w:sz w:val="22"/>
          <w:szCs w:val="22"/>
        </w:rPr>
        <w:t>TVDI:</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478"/>
        <w:gridCol w:w="3609"/>
      </w:tblGrid>
      <w:tr w:rsidR="009333E6" w:rsidRPr="009333E6" w14:paraId="29F8D747" w14:textId="77777777" w:rsidTr="009E61B4">
        <w:trPr>
          <w:trHeight w:val="50"/>
          <w:tblHeader/>
        </w:trPr>
        <w:tc>
          <w:tcPr>
            <w:tcW w:w="2454" w:type="pct"/>
            <w:shd w:val="clear" w:color="auto" w:fill="C9C9C9" w:themeFill="accent3" w:themeFillTint="99"/>
          </w:tcPr>
          <w:p w14:paraId="66A56DA8" w14:textId="77777777" w:rsidR="00100EB9" w:rsidRPr="009333E6" w:rsidRDefault="00100EB9" w:rsidP="002305DD">
            <w:pPr>
              <w:ind w:left="360"/>
              <w:jc w:val="center"/>
              <w:rPr>
                <w:b/>
                <w:bCs/>
                <w:sz w:val="22"/>
                <w:szCs w:val="22"/>
              </w:rPr>
            </w:pPr>
            <w:r w:rsidRPr="009333E6">
              <w:rPr>
                <w:b/>
                <w:bCs/>
                <w:sz w:val="22"/>
                <w:szCs w:val="22"/>
              </w:rPr>
              <w:t>Dryness Index</w:t>
            </w:r>
          </w:p>
        </w:tc>
        <w:tc>
          <w:tcPr>
            <w:tcW w:w="2546" w:type="pct"/>
            <w:shd w:val="clear" w:color="auto" w:fill="C9C9C9" w:themeFill="accent3" w:themeFillTint="99"/>
          </w:tcPr>
          <w:p w14:paraId="736CA4BD" w14:textId="77777777" w:rsidR="00100EB9" w:rsidRPr="009333E6" w:rsidRDefault="00100EB9" w:rsidP="002305DD">
            <w:pPr>
              <w:ind w:left="360"/>
              <w:jc w:val="center"/>
              <w:rPr>
                <w:b/>
                <w:bCs/>
                <w:sz w:val="22"/>
                <w:szCs w:val="22"/>
              </w:rPr>
            </w:pPr>
            <w:r w:rsidRPr="009333E6">
              <w:rPr>
                <w:b/>
                <w:bCs/>
                <w:sz w:val="22"/>
                <w:szCs w:val="22"/>
              </w:rPr>
              <w:t>TVID</w:t>
            </w:r>
          </w:p>
        </w:tc>
      </w:tr>
      <w:tr w:rsidR="009333E6" w:rsidRPr="009333E6" w14:paraId="00D2A5A3" w14:textId="77777777" w:rsidTr="00100EB9">
        <w:trPr>
          <w:trHeight w:val="50"/>
        </w:trPr>
        <w:tc>
          <w:tcPr>
            <w:tcW w:w="2454" w:type="pct"/>
          </w:tcPr>
          <w:p w14:paraId="4A6798EE" w14:textId="6985E00A" w:rsidR="00100EB9" w:rsidRPr="009333E6" w:rsidRDefault="00DB1BCF" w:rsidP="002305DD">
            <w:pPr>
              <w:ind w:left="360"/>
              <w:rPr>
                <w:sz w:val="22"/>
                <w:szCs w:val="22"/>
                <w:lang w:val="id-ID"/>
              </w:rPr>
            </w:pPr>
            <w:r w:rsidRPr="009333E6">
              <w:rPr>
                <w:sz w:val="22"/>
                <w:szCs w:val="22"/>
                <w:lang w:val="id-ID"/>
              </w:rPr>
              <w:t>Very Wet</w:t>
            </w:r>
          </w:p>
        </w:tc>
        <w:tc>
          <w:tcPr>
            <w:tcW w:w="2546" w:type="pct"/>
          </w:tcPr>
          <w:p w14:paraId="0362D003" w14:textId="77777777" w:rsidR="00100EB9" w:rsidRPr="009333E6" w:rsidRDefault="00100EB9" w:rsidP="002305DD">
            <w:pPr>
              <w:ind w:left="360"/>
              <w:jc w:val="center"/>
              <w:rPr>
                <w:sz w:val="22"/>
                <w:szCs w:val="22"/>
              </w:rPr>
            </w:pPr>
            <w:r w:rsidRPr="009333E6">
              <w:rPr>
                <w:sz w:val="22"/>
                <w:szCs w:val="22"/>
              </w:rPr>
              <w:t>0 &lt; TVDI≤ 0.2</w:t>
            </w:r>
          </w:p>
        </w:tc>
      </w:tr>
      <w:tr w:rsidR="009333E6" w:rsidRPr="009333E6" w14:paraId="5510521C" w14:textId="77777777" w:rsidTr="00100EB9">
        <w:trPr>
          <w:trHeight w:val="48"/>
        </w:trPr>
        <w:tc>
          <w:tcPr>
            <w:tcW w:w="2454" w:type="pct"/>
          </w:tcPr>
          <w:p w14:paraId="2C290794" w14:textId="00E2F4CB" w:rsidR="00100EB9" w:rsidRPr="009333E6" w:rsidRDefault="00DB1BCF" w:rsidP="002305DD">
            <w:pPr>
              <w:ind w:left="360"/>
              <w:rPr>
                <w:sz w:val="22"/>
                <w:szCs w:val="22"/>
                <w:lang w:val="id-ID"/>
              </w:rPr>
            </w:pPr>
            <w:r w:rsidRPr="009333E6">
              <w:rPr>
                <w:sz w:val="22"/>
                <w:szCs w:val="22"/>
                <w:lang w:val="id-ID"/>
              </w:rPr>
              <w:t>Wet</w:t>
            </w:r>
          </w:p>
        </w:tc>
        <w:tc>
          <w:tcPr>
            <w:tcW w:w="2546" w:type="pct"/>
          </w:tcPr>
          <w:p w14:paraId="3D14766F" w14:textId="77777777" w:rsidR="00100EB9" w:rsidRPr="009333E6" w:rsidRDefault="00100EB9" w:rsidP="002305DD">
            <w:pPr>
              <w:ind w:left="360"/>
              <w:jc w:val="center"/>
              <w:rPr>
                <w:sz w:val="22"/>
                <w:szCs w:val="22"/>
              </w:rPr>
            </w:pPr>
            <w:r w:rsidRPr="009333E6">
              <w:rPr>
                <w:sz w:val="22"/>
                <w:szCs w:val="22"/>
              </w:rPr>
              <w:t>0.2 &lt; TVDI≤ 0.4</w:t>
            </w:r>
          </w:p>
        </w:tc>
      </w:tr>
      <w:tr w:rsidR="009333E6" w:rsidRPr="009333E6" w14:paraId="34DEEBC1" w14:textId="77777777" w:rsidTr="00100EB9">
        <w:trPr>
          <w:trHeight w:val="50"/>
        </w:trPr>
        <w:tc>
          <w:tcPr>
            <w:tcW w:w="2454" w:type="pct"/>
          </w:tcPr>
          <w:p w14:paraId="6E2ACCCB" w14:textId="77777777" w:rsidR="00100EB9" w:rsidRPr="009333E6" w:rsidRDefault="00100EB9" w:rsidP="002305DD">
            <w:pPr>
              <w:ind w:left="360"/>
              <w:rPr>
                <w:sz w:val="22"/>
                <w:szCs w:val="22"/>
              </w:rPr>
            </w:pPr>
            <w:r w:rsidRPr="009333E6">
              <w:rPr>
                <w:sz w:val="22"/>
                <w:szCs w:val="22"/>
              </w:rPr>
              <w:t>Normal</w:t>
            </w:r>
          </w:p>
        </w:tc>
        <w:tc>
          <w:tcPr>
            <w:tcW w:w="2546" w:type="pct"/>
          </w:tcPr>
          <w:p w14:paraId="7AFF72AA" w14:textId="77777777" w:rsidR="00100EB9" w:rsidRPr="009333E6" w:rsidRDefault="00100EB9" w:rsidP="002305DD">
            <w:pPr>
              <w:ind w:left="360"/>
              <w:jc w:val="center"/>
              <w:rPr>
                <w:sz w:val="22"/>
                <w:szCs w:val="22"/>
              </w:rPr>
            </w:pPr>
            <w:r w:rsidRPr="009333E6">
              <w:rPr>
                <w:sz w:val="22"/>
                <w:szCs w:val="22"/>
              </w:rPr>
              <w:t>0.4&lt; TVDI≤ 0.6</w:t>
            </w:r>
          </w:p>
        </w:tc>
      </w:tr>
      <w:tr w:rsidR="009333E6" w:rsidRPr="009333E6" w14:paraId="31A8DE62" w14:textId="77777777" w:rsidTr="00100EB9">
        <w:trPr>
          <w:trHeight w:val="50"/>
        </w:trPr>
        <w:tc>
          <w:tcPr>
            <w:tcW w:w="2454" w:type="pct"/>
          </w:tcPr>
          <w:p w14:paraId="670718A9" w14:textId="614AAFD3" w:rsidR="00100EB9" w:rsidRPr="009333E6" w:rsidRDefault="00DB1BCF" w:rsidP="002305DD">
            <w:pPr>
              <w:ind w:left="360"/>
              <w:rPr>
                <w:sz w:val="22"/>
                <w:szCs w:val="22"/>
                <w:lang w:val="id-ID"/>
              </w:rPr>
            </w:pPr>
            <w:r w:rsidRPr="009333E6">
              <w:rPr>
                <w:sz w:val="22"/>
                <w:szCs w:val="22"/>
                <w:lang w:val="id-ID"/>
              </w:rPr>
              <w:lastRenderedPageBreak/>
              <w:t>Dry</w:t>
            </w:r>
          </w:p>
        </w:tc>
        <w:tc>
          <w:tcPr>
            <w:tcW w:w="2546" w:type="pct"/>
          </w:tcPr>
          <w:p w14:paraId="164A0B86" w14:textId="77777777" w:rsidR="00100EB9" w:rsidRPr="009333E6" w:rsidRDefault="00100EB9" w:rsidP="002305DD">
            <w:pPr>
              <w:ind w:left="360"/>
              <w:jc w:val="center"/>
              <w:rPr>
                <w:sz w:val="22"/>
                <w:szCs w:val="22"/>
              </w:rPr>
            </w:pPr>
            <w:r w:rsidRPr="009333E6">
              <w:rPr>
                <w:sz w:val="22"/>
                <w:szCs w:val="22"/>
              </w:rPr>
              <w:t>0.6 &lt; TVDI≤ 0.8</w:t>
            </w:r>
          </w:p>
        </w:tc>
      </w:tr>
      <w:tr w:rsidR="009333E6" w:rsidRPr="009333E6" w14:paraId="2E717E3E" w14:textId="77777777" w:rsidTr="00100EB9">
        <w:trPr>
          <w:trHeight w:val="50"/>
        </w:trPr>
        <w:tc>
          <w:tcPr>
            <w:tcW w:w="2454" w:type="pct"/>
          </w:tcPr>
          <w:p w14:paraId="3668331D" w14:textId="5EBCA123" w:rsidR="00100EB9" w:rsidRPr="009333E6" w:rsidRDefault="00DB1BCF" w:rsidP="002305DD">
            <w:pPr>
              <w:ind w:left="360"/>
              <w:rPr>
                <w:sz w:val="22"/>
                <w:szCs w:val="22"/>
                <w:lang w:val="id-ID"/>
              </w:rPr>
            </w:pPr>
            <w:r w:rsidRPr="009333E6">
              <w:rPr>
                <w:sz w:val="22"/>
                <w:szCs w:val="22"/>
                <w:lang w:val="id-ID"/>
              </w:rPr>
              <w:t>Very</w:t>
            </w:r>
            <w:r w:rsidR="00100EB9" w:rsidRPr="009333E6">
              <w:rPr>
                <w:sz w:val="22"/>
                <w:szCs w:val="22"/>
              </w:rPr>
              <w:t xml:space="preserve"> </w:t>
            </w:r>
            <w:r w:rsidRPr="009333E6">
              <w:rPr>
                <w:sz w:val="22"/>
                <w:szCs w:val="22"/>
                <w:lang w:val="id-ID"/>
              </w:rPr>
              <w:t>Dry</w:t>
            </w:r>
          </w:p>
        </w:tc>
        <w:tc>
          <w:tcPr>
            <w:tcW w:w="2546" w:type="pct"/>
          </w:tcPr>
          <w:p w14:paraId="567DAD62" w14:textId="77777777" w:rsidR="00100EB9" w:rsidRPr="009333E6" w:rsidRDefault="00100EB9" w:rsidP="002305DD">
            <w:pPr>
              <w:ind w:left="360"/>
              <w:jc w:val="center"/>
              <w:rPr>
                <w:sz w:val="22"/>
                <w:szCs w:val="22"/>
              </w:rPr>
            </w:pPr>
            <w:r w:rsidRPr="009333E6">
              <w:rPr>
                <w:sz w:val="22"/>
                <w:szCs w:val="22"/>
              </w:rPr>
              <w:t>0.8 &lt; TVDI≤ 1.0</w:t>
            </w:r>
          </w:p>
        </w:tc>
      </w:tr>
    </w:tbl>
    <w:p w14:paraId="342418A7" w14:textId="105BCA83" w:rsidR="00100EB9" w:rsidRPr="009333E6" w:rsidRDefault="00100EB9" w:rsidP="00D314F9">
      <w:pPr>
        <w:ind w:left="360"/>
        <w:rPr>
          <w:sz w:val="22"/>
          <w:szCs w:val="22"/>
        </w:rPr>
      </w:pPr>
      <w:r w:rsidRPr="009333E6">
        <w:rPr>
          <w:sz w:val="22"/>
          <w:szCs w:val="22"/>
        </w:rPr>
        <w:t xml:space="preserve">Source: </w:t>
      </w:r>
      <w:r w:rsidRPr="009333E6">
        <w:rPr>
          <w:sz w:val="22"/>
          <w:szCs w:val="22"/>
        </w:rPr>
        <w:fldChar w:fldCharType="begin" w:fldLock="1"/>
      </w:r>
      <w:r w:rsidR="009333E6" w:rsidRPr="009333E6">
        <w:rPr>
          <w:sz w:val="22"/>
          <w:szCs w:val="22"/>
        </w:rPr>
        <w:instrText>ADDIN CSL_CITATION {"citationItems":[{"id":"ITEM-1","itemData":{"DOI":"10.1016/S0034-4257(01)00274-7","ISSN":"0034-4257","abstract":"A simplified land surface dryness index (Temperature-Vegetation Dryness Index, TVDI) based on an empirical parameterisation of the relationship between surface temperature (Ts) and vegetation index (NDVI) is suggested. The index is related to soil moisture and, in comparison to existing interpretations of the Ts/NDVI space, the index is conceptually and computationally straightforward. It is based on satellite derived information only, and the potential for operational application of the index is therefore large. The spatial pattern and temporal evolution in TVDI has been analysed using 37 NOAA-AVHRR images from 1990 covering part of the Ferlo region of northern, semiarid Senegal in West Africa. The spatial pattern in TVDI has been compared with simulations of soil moisture from a distributed hydrological model based on the MIKE SHE code. The spatial variation in TVDI reflects the variation in moisture on a finer scale than can be derived from the hydrological model in this case. © 2002 Elsevier Science Inc. All rights reserved.","author":[{"dropping-particle":"","family":"Sandholt","given":"Inge","non-dropping-particle":"","parse-names":false,"suffix":""},{"dropping-particle":"","family":"Rasmussen","given":"Kjeld","non-dropping-particle":"","parse-names":false,"suffix":""},{"dropping-particle":"","family":"Andersen","given":"Jens","non-dropping-particle":"","parse-names":false,"suffix":""}],"container-title":"Remote Sensing of Environment","id":"ITEM-1","issue":"2-3","issued":{"date-parts":[["2002","2","1"]]},"page":"213-224","publisher":"Elsevier","title":"A simple interpretation of the surface temperature/vegetation index space for assessment of surface moisture status","type":"article-journal","volume":"79"},"uris":["http://www.mendeley.com/documents/?uuid=816c9c19-71d2-3621-a9c6-65481f4ef961"]}],"mendeley":{"formattedCitation":"[14]","plainTextFormattedCitation":"[14]","previouslyFormattedCitation":"[14]"},"properties":{"noteIndex":0},"schema":"https://github.com/citation-style-language/schema/raw/master/csl-citation.json"}</w:instrText>
      </w:r>
      <w:r w:rsidRPr="009333E6">
        <w:rPr>
          <w:sz w:val="22"/>
          <w:szCs w:val="22"/>
        </w:rPr>
        <w:fldChar w:fldCharType="separate"/>
      </w:r>
      <w:r w:rsidR="009333E6" w:rsidRPr="009333E6">
        <w:rPr>
          <w:noProof/>
          <w:sz w:val="22"/>
          <w:szCs w:val="22"/>
        </w:rPr>
        <w:t>[14]</w:t>
      </w:r>
      <w:r w:rsidRPr="009333E6">
        <w:rPr>
          <w:sz w:val="22"/>
          <w:szCs w:val="22"/>
        </w:rPr>
        <w:fldChar w:fldCharType="end"/>
      </w:r>
    </w:p>
    <w:p w14:paraId="62139CF7" w14:textId="4850EF24" w:rsidR="00D314F9" w:rsidRPr="009333E6" w:rsidRDefault="002119E7" w:rsidP="002119E7">
      <w:pPr>
        <w:pStyle w:val="Heading1"/>
      </w:pPr>
      <w:r>
        <w:t>Results</w:t>
      </w:r>
    </w:p>
    <w:p w14:paraId="57670544" w14:textId="5AEEA0EB" w:rsidR="00D314F9" w:rsidRPr="009333E6" w:rsidRDefault="009E61B4" w:rsidP="00E30449">
      <w:pPr>
        <w:pStyle w:val="Heading2"/>
      </w:pPr>
      <w:r w:rsidRPr="009333E6">
        <w:t xml:space="preserve">Representation of Agrotourism Areas in </w:t>
      </w:r>
      <w:proofErr w:type="spellStart"/>
      <w:r w:rsidRPr="009333E6">
        <w:t>Sidomulyo</w:t>
      </w:r>
      <w:proofErr w:type="spellEnd"/>
      <w:r w:rsidRPr="009333E6">
        <w:t xml:space="preserve"> Village, Batu City</w:t>
      </w:r>
    </w:p>
    <w:p w14:paraId="2641DED7" w14:textId="574582DB" w:rsidR="00D314F9" w:rsidRPr="009333E6" w:rsidRDefault="009E61B4" w:rsidP="00D314F9">
      <w:pPr>
        <w:jc w:val="both"/>
        <w:rPr>
          <w:sz w:val="22"/>
          <w:szCs w:val="22"/>
        </w:rPr>
      </w:pPr>
      <w:proofErr w:type="spellStart"/>
      <w:r w:rsidRPr="009333E6">
        <w:rPr>
          <w:sz w:val="22"/>
          <w:szCs w:val="22"/>
        </w:rPr>
        <w:t>Sidomulyo</w:t>
      </w:r>
      <w:proofErr w:type="spellEnd"/>
      <w:r w:rsidRPr="009333E6">
        <w:rPr>
          <w:sz w:val="22"/>
          <w:szCs w:val="22"/>
        </w:rPr>
        <w:t xml:space="preserve"> Village is one of the </w:t>
      </w:r>
      <w:proofErr w:type="spellStart"/>
      <w:r w:rsidRPr="009333E6">
        <w:rPr>
          <w:sz w:val="22"/>
          <w:szCs w:val="22"/>
        </w:rPr>
        <w:t>agro</w:t>
      </w:r>
      <w:proofErr w:type="spellEnd"/>
      <w:r w:rsidRPr="009333E6">
        <w:rPr>
          <w:sz w:val="22"/>
          <w:szCs w:val="22"/>
        </w:rPr>
        <w:t xml:space="preserve">-tourism destinations in </w:t>
      </w:r>
      <w:proofErr w:type="spellStart"/>
      <w:r w:rsidRPr="009333E6">
        <w:rPr>
          <w:sz w:val="22"/>
          <w:szCs w:val="22"/>
        </w:rPr>
        <w:t>Bumiaji</w:t>
      </w:r>
      <w:proofErr w:type="spellEnd"/>
      <w:r w:rsidRPr="009333E6">
        <w:rPr>
          <w:sz w:val="22"/>
          <w:szCs w:val="22"/>
        </w:rPr>
        <w:t xml:space="preserve"> District, Batu City with superior ornamental plant products. According to the vegetation analysis, using the NDVI method it is known that </w:t>
      </w:r>
      <w:proofErr w:type="spellStart"/>
      <w:r w:rsidRPr="009333E6">
        <w:rPr>
          <w:sz w:val="22"/>
          <w:szCs w:val="22"/>
        </w:rPr>
        <w:t>Sidomulyo</w:t>
      </w:r>
      <w:proofErr w:type="spellEnd"/>
      <w:r w:rsidRPr="009333E6">
        <w:rPr>
          <w:sz w:val="22"/>
          <w:szCs w:val="22"/>
        </w:rPr>
        <w:t xml:space="preserve"> Village has the following plantation area</w:t>
      </w:r>
      <w:r w:rsidR="00D314F9" w:rsidRPr="009333E6">
        <w:rPr>
          <w:sz w:val="22"/>
          <w:szCs w:val="22"/>
        </w:rPr>
        <w:t xml:space="preserve">: </w:t>
      </w:r>
    </w:p>
    <w:p w14:paraId="7CF670A4" w14:textId="77777777" w:rsidR="00E30449" w:rsidRPr="009333E6" w:rsidRDefault="00E30449" w:rsidP="00D314F9">
      <w:pPr>
        <w:jc w:val="both"/>
        <w:rPr>
          <w:sz w:val="22"/>
          <w:szCs w:val="22"/>
        </w:rPr>
      </w:pPr>
    </w:p>
    <w:p w14:paraId="480EAF7A" w14:textId="601233D9" w:rsidR="00D314F9" w:rsidRPr="009333E6" w:rsidRDefault="00DB1BCF" w:rsidP="0004272C">
      <w:pPr>
        <w:pStyle w:val="Caption"/>
        <w:spacing w:after="0"/>
        <w:jc w:val="both"/>
        <w:rPr>
          <w:rFonts w:ascii="Times New Roman" w:hAnsi="Times New Roman" w:cs="Times New Roman"/>
          <w:i w:val="0"/>
          <w:iCs w:val="0"/>
          <w:color w:val="auto"/>
          <w:sz w:val="22"/>
          <w:szCs w:val="22"/>
        </w:rPr>
      </w:pPr>
      <w:r w:rsidRPr="009333E6">
        <w:rPr>
          <w:rFonts w:ascii="Times New Roman" w:hAnsi="Times New Roman" w:cs="Times New Roman"/>
          <w:b/>
          <w:bCs/>
          <w:i w:val="0"/>
          <w:iCs w:val="0"/>
          <w:color w:val="auto"/>
          <w:sz w:val="22"/>
          <w:szCs w:val="22"/>
        </w:rPr>
        <w:t>Table</w:t>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b/>
          <w:bCs/>
          <w:i w:val="0"/>
          <w:iCs w:val="0"/>
          <w:color w:val="auto"/>
          <w:sz w:val="22"/>
          <w:szCs w:val="22"/>
        </w:rPr>
        <w:fldChar w:fldCharType="begin"/>
      </w:r>
      <w:r w:rsidR="00D314F9" w:rsidRPr="009333E6">
        <w:rPr>
          <w:rFonts w:ascii="Times New Roman" w:hAnsi="Times New Roman" w:cs="Times New Roman"/>
          <w:b/>
          <w:bCs/>
          <w:i w:val="0"/>
          <w:iCs w:val="0"/>
          <w:color w:val="auto"/>
          <w:sz w:val="22"/>
          <w:szCs w:val="22"/>
        </w:rPr>
        <w:instrText xml:space="preserve"> SEQ Tabel \* ARABIC </w:instrText>
      </w:r>
      <w:r w:rsidR="00D314F9" w:rsidRPr="009333E6">
        <w:rPr>
          <w:rFonts w:ascii="Times New Roman" w:hAnsi="Times New Roman" w:cs="Times New Roman"/>
          <w:b/>
          <w:bCs/>
          <w:i w:val="0"/>
          <w:iCs w:val="0"/>
          <w:color w:val="auto"/>
          <w:sz w:val="22"/>
          <w:szCs w:val="22"/>
        </w:rPr>
        <w:fldChar w:fldCharType="separate"/>
      </w:r>
      <w:r w:rsidR="00FE0125">
        <w:rPr>
          <w:rFonts w:ascii="Times New Roman" w:hAnsi="Times New Roman" w:cs="Times New Roman"/>
          <w:b/>
          <w:bCs/>
          <w:i w:val="0"/>
          <w:iCs w:val="0"/>
          <w:noProof/>
          <w:color w:val="auto"/>
          <w:sz w:val="22"/>
          <w:szCs w:val="22"/>
        </w:rPr>
        <w:t>2</w:t>
      </w:r>
      <w:r w:rsidR="00D314F9" w:rsidRPr="009333E6">
        <w:rPr>
          <w:rFonts w:ascii="Times New Roman" w:hAnsi="Times New Roman" w:cs="Times New Roman"/>
          <w:b/>
          <w:bCs/>
          <w:i w:val="0"/>
          <w:iCs w:val="0"/>
          <w:color w:val="auto"/>
          <w:sz w:val="22"/>
          <w:szCs w:val="22"/>
        </w:rPr>
        <w:fldChar w:fldCharType="end"/>
      </w:r>
      <w:r w:rsidR="00D314F9" w:rsidRPr="009333E6">
        <w:rPr>
          <w:rFonts w:ascii="Times New Roman" w:hAnsi="Times New Roman" w:cs="Times New Roman"/>
          <w:i w:val="0"/>
          <w:iCs w:val="0"/>
          <w:color w:val="auto"/>
          <w:sz w:val="22"/>
          <w:szCs w:val="22"/>
        </w:rPr>
        <w:t xml:space="preserve"> </w:t>
      </w:r>
      <w:r w:rsidR="009E61B4" w:rsidRPr="009333E6">
        <w:rPr>
          <w:rFonts w:ascii="Times New Roman" w:hAnsi="Times New Roman" w:cs="Times New Roman"/>
          <w:i w:val="0"/>
          <w:iCs w:val="0"/>
          <w:color w:val="auto"/>
          <w:sz w:val="22"/>
          <w:szCs w:val="22"/>
        </w:rPr>
        <w:t xml:space="preserve">Normalized Difference Vegetation Index (NDVI) in </w:t>
      </w:r>
      <w:proofErr w:type="spellStart"/>
      <w:r w:rsidR="009E61B4" w:rsidRPr="009333E6">
        <w:rPr>
          <w:rFonts w:ascii="Times New Roman" w:hAnsi="Times New Roman" w:cs="Times New Roman"/>
          <w:i w:val="0"/>
          <w:iCs w:val="0"/>
          <w:color w:val="auto"/>
          <w:sz w:val="22"/>
          <w:szCs w:val="22"/>
        </w:rPr>
        <w:t>Sidomulyo</w:t>
      </w:r>
      <w:proofErr w:type="spellEnd"/>
      <w:r w:rsidR="009E61B4" w:rsidRPr="009333E6">
        <w:rPr>
          <w:rFonts w:ascii="Times New Roman" w:hAnsi="Times New Roman" w:cs="Times New Roman"/>
          <w:i w:val="0"/>
          <w:iCs w:val="0"/>
          <w:color w:val="auto"/>
          <w:sz w:val="22"/>
          <w:szCs w:val="22"/>
        </w:rPr>
        <w:t xml:space="preserve"> Village, </w:t>
      </w:r>
      <w:proofErr w:type="spellStart"/>
      <w:r w:rsidR="009E61B4" w:rsidRPr="009333E6">
        <w:rPr>
          <w:rFonts w:ascii="Times New Roman" w:hAnsi="Times New Roman" w:cs="Times New Roman"/>
          <w:i w:val="0"/>
          <w:iCs w:val="0"/>
          <w:color w:val="auto"/>
          <w:sz w:val="22"/>
          <w:szCs w:val="22"/>
        </w:rPr>
        <w:t>Bumiaji</w:t>
      </w:r>
      <w:proofErr w:type="spellEnd"/>
      <w:r w:rsidR="009E61B4" w:rsidRPr="009333E6">
        <w:rPr>
          <w:rFonts w:ascii="Times New Roman" w:hAnsi="Times New Roman" w:cs="Times New Roman"/>
          <w:i w:val="0"/>
          <w:iCs w:val="0"/>
          <w:color w:val="auto"/>
          <w:sz w:val="22"/>
          <w:szCs w:val="22"/>
        </w:rPr>
        <w:t>, Batu City</w:t>
      </w:r>
    </w:p>
    <w:tbl>
      <w:tblPr>
        <w:tblW w:w="5042" w:type="pct"/>
        <w:tblBorders>
          <w:top w:val="single" w:sz="4" w:space="0" w:color="auto"/>
          <w:bottom w:val="single" w:sz="4" w:space="0" w:color="auto"/>
          <w:insideH w:val="single" w:sz="4" w:space="0" w:color="auto"/>
        </w:tblBorders>
        <w:tblLook w:val="04A0" w:firstRow="1" w:lastRow="0" w:firstColumn="1" w:lastColumn="0" w:noHBand="0" w:noVBand="1"/>
      </w:tblPr>
      <w:tblGrid>
        <w:gridCol w:w="4032"/>
        <w:gridCol w:w="1558"/>
        <w:gridCol w:w="1557"/>
      </w:tblGrid>
      <w:tr w:rsidR="009333E6" w:rsidRPr="009333E6" w14:paraId="1A9BC893" w14:textId="77777777" w:rsidTr="00D314F9">
        <w:trPr>
          <w:trHeight w:val="276"/>
          <w:tblHeader/>
        </w:trPr>
        <w:tc>
          <w:tcPr>
            <w:tcW w:w="2820" w:type="pct"/>
            <w:shd w:val="clear" w:color="auto" w:fill="AEAAAA" w:themeFill="background2" w:themeFillShade="BF"/>
            <w:noWrap/>
            <w:vAlign w:val="bottom"/>
            <w:hideMark/>
          </w:tcPr>
          <w:p w14:paraId="766EBF32" w14:textId="3F386C9D" w:rsidR="00D314F9" w:rsidRPr="009333E6" w:rsidRDefault="00DB1BCF" w:rsidP="002305DD">
            <w:pPr>
              <w:jc w:val="center"/>
              <w:rPr>
                <w:sz w:val="22"/>
                <w:szCs w:val="22"/>
                <w:lang w:val="id-ID" w:eastAsia="zh-CN"/>
              </w:rPr>
            </w:pPr>
            <w:r w:rsidRPr="009333E6">
              <w:rPr>
                <w:sz w:val="22"/>
                <w:szCs w:val="22"/>
                <w:lang w:val="id-ID" w:eastAsia="zh-CN"/>
              </w:rPr>
              <w:t>Vegetation Index</w:t>
            </w:r>
          </w:p>
        </w:tc>
        <w:tc>
          <w:tcPr>
            <w:tcW w:w="1090" w:type="pct"/>
            <w:shd w:val="clear" w:color="auto" w:fill="AEAAAA" w:themeFill="background2" w:themeFillShade="BF"/>
            <w:noWrap/>
            <w:vAlign w:val="bottom"/>
            <w:hideMark/>
          </w:tcPr>
          <w:p w14:paraId="11A9E63D" w14:textId="7A936365" w:rsidR="00D314F9" w:rsidRPr="009333E6" w:rsidRDefault="00DB1BCF" w:rsidP="002305DD">
            <w:pPr>
              <w:jc w:val="center"/>
              <w:rPr>
                <w:sz w:val="22"/>
                <w:szCs w:val="22"/>
                <w:lang w:eastAsia="zh-CN"/>
              </w:rPr>
            </w:pPr>
            <w:r w:rsidRPr="009333E6">
              <w:rPr>
                <w:sz w:val="22"/>
                <w:szCs w:val="22"/>
                <w:lang w:val="id-ID" w:eastAsia="zh-CN"/>
              </w:rPr>
              <w:t>Coverage</w:t>
            </w:r>
            <w:r w:rsidR="00D314F9" w:rsidRPr="009333E6">
              <w:rPr>
                <w:sz w:val="22"/>
                <w:szCs w:val="22"/>
                <w:lang w:eastAsia="zh-CN"/>
              </w:rPr>
              <w:t xml:space="preserve"> (Ha)</w:t>
            </w:r>
          </w:p>
        </w:tc>
        <w:tc>
          <w:tcPr>
            <w:tcW w:w="1089" w:type="pct"/>
            <w:shd w:val="clear" w:color="auto" w:fill="AEAAAA" w:themeFill="background2" w:themeFillShade="BF"/>
          </w:tcPr>
          <w:p w14:paraId="3DF27C6A" w14:textId="7CA5AB28" w:rsidR="00D314F9" w:rsidRPr="009333E6" w:rsidRDefault="00D314F9" w:rsidP="002305DD">
            <w:pPr>
              <w:jc w:val="center"/>
              <w:rPr>
                <w:sz w:val="22"/>
                <w:szCs w:val="22"/>
                <w:lang w:eastAsia="zh-CN"/>
              </w:rPr>
            </w:pPr>
            <w:r w:rsidRPr="009333E6">
              <w:rPr>
                <w:sz w:val="22"/>
                <w:szCs w:val="22"/>
                <w:lang w:eastAsia="zh-CN"/>
              </w:rPr>
              <w:t>Pe</w:t>
            </w:r>
            <w:r w:rsidR="00DB1BCF" w:rsidRPr="009333E6">
              <w:rPr>
                <w:sz w:val="22"/>
                <w:szCs w:val="22"/>
                <w:lang w:val="id-ID" w:eastAsia="zh-CN"/>
              </w:rPr>
              <w:t>rcentage</w:t>
            </w:r>
            <w:r w:rsidRPr="009333E6">
              <w:rPr>
                <w:sz w:val="22"/>
                <w:szCs w:val="22"/>
                <w:lang w:eastAsia="zh-CN"/>
              </w:rPr>
              <w:t xml:space="preserve"> </w:t>
            </w:r>
          </w:p>
        </w:tc>
      </w:tr>
      <w:tr w:rsidR="009333E6" w:rsidRPr="009333E6" w14:paraId="2AA13477" w14:textId="77777777" w:rsidTr="00D314F9">
        <w:trPr>
          <w:trHeight w:val="276"/>
        </w:trPr>
        <w:tc>
          <w:tcPr>
            <w:tcW w:w="2820" w:type="pct"/>
            <w:shd w:val="clear" w:color="auto" w:fill="auto"/>
            <w:noWrap/>
            <w:vAlign w:val="bottom"/>
            <w:hideMark/>
          </w:tcPr>
          <w:p w14:paraId="656A6F9D" w14:textId="4E8AC54D" w:rsidR="00D314F9" w:rsidRPr="009333E6" w:rsidRDefault="00DB1BCF" w:rsidP="002305DD">
            <w:pPr>
              <w:rPr>
                <w:sz w:val="22"/>
                <w:szCs w:val="22"/>
                <w:lang w:val="id-ID" w:eastAsia="zh-CN"/>
              </w:rPr>
            </w:pPr>
            <w:r w:rsidRPr="009333E6">
              <w:rPr>
                <w:sz w:val="22"/>
                <w:szCs w:val="22"/>
                <w:lang w:val="id-ID"/>
              </w:rPr>
              <w:t>High Vegetation</w:t>
            </w:r>
          </w:p>
        </w:tc>
        <w:tc>
          <w:tcPr>
            <w:tcW w:w="1090" w:type="pct"/>
            <w:shd w:val="clear" w:color="auto" w:fill="auto"/>
            <w:noWrap/>
            <w:vAlign w:val="bottom"/>
            <w:hideMark/>
          </w:tcPr>
          <w:p w14:paraId="3F48CD6D" w14:textId="77777777" w:rsidR="00D314F9" w:rsidRPr="009333E6" w:rsidRDefault="00D314F9" w:rsidP="002305DD">
            <w:pPr>
              <w:jc w:val="right"/>
              <w:rPr>
                <w:sz w:val="22"/>
                <w:szCs w:val="22"/>
                <w:lang w:eastAsia="zh-CN"/>
              </w:rPr>
            </w:pPr>
            <w:r w:rsidRPr="009333E6">
              <w:rPr>
                <w:sz w:val="22"/>
                <w:szCs w:val="22"/>
              </w:rPr>
              <w:t>1.74</w:t>
            </w:r>
          </w:p>
        </w:tc>
        <w:tc>
          <w:tcPr>
            <w:tcW w:w="1089" w:type="pct"/>
            <w:shd w:val="clear" w:color="auto" w:fill="auto"/>
            <w:vAlign w:val="bottom"/>
          </w:tcPr>
          <w:p w14:paraId="66FD9DF2" w14:textId="77777777" w:rsidR="00D314F9" w:rsidRPr="009333E6" w:rsidRDefault="00D314F9" w:rsidP="002305DD">
            <w:pPr>
              <w:jc w:val="right"/>
              <w:rPr>
                <w:sz w:val="22"/>
                <w:szCs w:val="22"/>
              </w:rPr>
            </w:pPr>
            <w:r w:rsidRPr="009333E6">
              <w:rPr>
                <w:sz w:val="22"/>
                <w:szCs w:val="22"/>
              </w:rPr>
              <w:t>0.17%</w:t>
            </w:r>
          </w:p>
        </w:tc>
      </w:tr>
      <w:tr w:rsidR="009333E6" w:rsidRPr="009333E6" w14:paraId="52168DCA" w14:textId="77777777" w:rsidTr="00D314F9">
        <w:trPr>
          <w:trHeight w:val="276"/>
        </w:trPr>
        <w:tc>
          <w:tcPr>
            <w:tcW w:w="2820" w:type="pct"/>
            <w:shd w:val="clear" w:color="auto" w:fill="auto"/>
            <w:noWrap/>
            <w:vAlign w:val="bottom"/>
            <w:hideMark/>
          </w:tcPr>
          <w:p w14:paraId="0566941F" w14:textId="69CED669" w:rsidR="00D314F9" w:rsidRPr="009333E6" w:rsidRDefault="00DB1BCF" w:rsidP="002305DD">
            <w:pPr>
              <w:rPr>
                <w:sz w:val="22"/>
                <w:szCs w:val="22"/>
                <w:lang w:val="id-ID" w:eastAsia="zh-CN"/>
              </w:rPr>
            </w:pPr>
            <w:r w:rsidRPr="009333E6">
              <w:rPr>
                <w:sz w:val="22"/>
                <w:szCs w:val="22"/>
                <w:lang w:val="id-ID" w:eastAsia="zh-CN"/>
              </w:rPr>
              <w:t>Medium Vegetation</w:t>
            </w:r>
          </w:p>
        </w:tc>
        <w:tc>
          <w:tcPr>
            <w:tcW w:w="1090" w:type="pct"/>
            <w:shd w:val="clear" w:color="auto" w:fill="auto"/>
            <w:noWrap/>
            <w:vAlign w:val="bottom"/>
            <w:hideMark/>
          </w:tcPr>
          <w:p w14:paraId="4B4D2966" w14:textId="77777777" w:rsidR="00D314F9" w:rsidRPr="009333E6" w:rsidRDefault="00D314F9" w:rsidP="002305DD">
            <w:pPr>
              <w:jc w:val="right"/>
              <w:rPr>
                <w:sz w:val="22"/>
                <w:szCs w:val="22"/>
                <w:lang w:eastAsia="zh-CN"/>
              </w:rPr>
            </w:pPr>
            <w:r w:rsidRPr="009333E6">
              <w:rPr>
                <w:sz w:val="22"/>
                <w:szCs w:val="22"/>
              </w:rPr>
              <w:t>758.88</w:t>
            </w:r>
          </w:p>
        </w:tc>
        <w:tc>
          <w:tcPr>
            <w:tcW w:w="1089" w:type="pct"/>
            <w:shd w:val="clear" w:color="auto" w:fill="auto"/>
            <w:vAlign w:val="bottom"/>
          </w:tcPr>
          <w:p w14:paraId="6A3A1A79" w14:textId="77777777" w:rsidR="00D314F9" w:rsidRPr="009333E6" w:rsidRDefault="00D314F9" w:rsidP="002305DD">
            <w:pPr>
              <w:jc w:val="right"/>
              <w:rPr>
                <w:sz w:val="22"/>
                <w:szCs w:val="22"/>
              </w:rPr>
            </w:pPr>
            <w:r w:rsidRPr="009333E6">
              <w:rPr>
                <w:sz w:val="22"/>
                <w:szCs w:val="22"/>
              </w:rPr>
              <w:t>74.28%</w:t>
            </w:r>
          </w:p>
        </w:tc>
      </w:tr>
      <w:tr w:rsidR="009333E6" w:rsidRPr="009333E6" w14:paraId="789840CD" w14:textId="77777777" w:rsidTr="00D314F9">
        <w:trPr>
          <w:trHeight w:val="276"/>
        </w:trPr>
        <w:tc>
          <w:tcPr>
            <w:tcW w:w="2820" w:type="pct"/>
            <w:shd w:val="clear" w:color="auto" w:fill="auto"/>
            <w:noWrap/>
            <w:vAlign w:val="bottom"/>
            <w:hideMark/>
          </w:tcPr>
          <w:p w14:paraId="464A658F" w14:textId="057395CA" w:rsidR="00D314F9" w:rsidRPr="009333E6" w:rsidRDefault="00DB1BCF" w:rsidP="002305DD">
            <w:pPr>
              <w:rPr>
                <w:sz w:val="22"/>
                <w:szCs w:val="22"/>
                <w:lang w:val="id-ID" w:eastAsia="zh-CN"/>
              </w:rPr>
            </w:pPr>
            <w:r w:rsidRPr="009333E6">
              <w:rPr>
                <w:sz w:val="22"/>
                <w:szCs w:val="22"/>
                <w:lang w:val="id-ID" w:eastAsia="zh-CN"/>
              </w:rPr>
              <w:t>Very Low Vegetation</w:t>
            </w:r>
          </w:p>
        </w:tc>
        <w:tc>
          <w:tcPr>
            <w:tcW w:w="1090" w:type="pct"/>
            <w:shd w:val="clear" w:color="auto" w:fill="auto"/>
            <w:noWrap/>
            <w:vAlign w:val="bottom"/>
            <w:hideMark/>
          </w:tcPr>
          <w:p w14:paraId="2F26FD5C" w14:textId="77777777" w:rsidR="00D314F9" w:rsidRPr="009333E6" w:rsidRDefault="00D314F9" w:rsidP="002305DD">
            <w:pPr>
              <w:jc w:val="right"/>
              <w:rPr>
                <w:sz w:val="22"/>
                <w:szCs w:val="22"/>
                <w:lang w:eastAsia="zh-CN"/>
              </w:rPr>
            </w:pPr>
            <w:r w:rsidRPr="009333E6">
              <w:rPr>
                <w:sz w:val="22"/>
                <w:szCs w:val="22"/>
              </w:rPr>
              <w:t>142.08</w:t>
            </w:r>
          </w:p>
        </w:tc>
        <w:tc>
          <w:tcPr>
            <w:tcW w:w="1089" w:type="pct"/>
            <w:shd w:val="clear" w:color="auto" w:fill="auto"/>
            <w:vAlign w:val="bottom"/>
          </w:tcPr>
          <w:p w14:paraId="05D2872B" w14:textId="77777777" w:rsidR="00D314F9" w:rsidRPr="009333E6" w:rsidRDefault="00D314F9" w:rsidP="002305DD">
            <w:pPr>
              <w:jc w:val="right"/>
              <w:rPr>
                <w:sz w:val="22"/>
                <w:szCs w:val="22"/>
              </w:rPr>
            </w:pPr>
            <w:r w:rsidRPr="009333E6">
              <w:rPr>
                <w:sz w:val="22"/>
                <w:szCs w:val="22"/>
              </w:rPr>
              <w:t>13.91%</w:t>
            </w:r>
          </w:p>
        </w:tc>
      </w:tr>
      <w:tr w:rsidR="009333E6" w:rsidRPr="009333E6" w14:paraId="6BEFA748" w14:textId="77777777" w:rsidTr="00D314F9">
        <w:trPr>
          <w:trHeight w:val="276"/>
        </w:trPr>
        <w:tc>
          <w:tcPr>
            <w:tcW w:w="2820" w:type="pct"/>
            <w:shd w:val="clear" w:color="auto" w:fill="auto"/>
            <w:noWrap/>
            <w:vAlign w:val="bottom"/>
            <w:hideMark/>
          </w:tcPr>
          <w:p w14:paraId="03FB03EB" w14:textId="6D58DEE0" w:rsidR="00D314F9" w:rsidRPr="009333E6" w:rsidRDefault="00DB1BCF" w:rsidP="002305DD">
            <w:pPr>
              <w:rPr>
                <w:sz w:val="22"/>
                <w:szCs w:val="22"/>
                <w:lang w:val="id-ID" w:eastAsia="zh-CN"/>
              </w:rPr>
            </w:pPr>
            <w:r w:rsidRPr="009333E6">
              <w:rPr>
                <w:sz w:val="22"/>
                <w:szCs w:val="22"/>
                <w:lang w:val="id-ID" w:eastAsia="zh-CN"/>
              </w:rPr>
              <w:t>Low Vegetation</w:t>
            </w:r>
          </w:p>
        </w:tc>
        <w:tc>
          <w:tcPr>
            <w:tcW w:w="1090" w:type="pct"/>
            <w:shd w:val="clear" w:color="auto" w:fill="auto"/>
            <w:noWrap/>
            <w:vAlign w:val="bottom"/>
            <w:hideMark/>
          </w:tcPr>
          <w:p w14:paraId="4FD20332" w14:textId="77777777" w:rsidR="00D314F9" w:rsidRPr="009333E6" w:rsidRDefault="00D314F9" w:rsidP="002305DD">
            <w:pPr>
              <w:jc w:val="right"/>
              <w:rPr>
                <w:sz w:val="22"/>
                <w:szCs w:val="22"/>
                <w:lang w:eastAsia="zh-CN"/>
              </w:rPr>
            </w:pPr>
            <w:r w:rsidRPr="009333E6">
              <w:rPr>
                <w:sz w:val="22"/>
                <w:szCs w:val="22"/>
              </w:rPr>
              <w:t>102.38</w:t>
            </w:r>
          </w:p>
        </w:tc>
        <w:tc>
          <w:tcPr>
            <w:tcW w:w="1089" w:type="pct"/>
            <w:shd w:val="clear" w:color="auto" w:fill="auto"/>
            <w:vAlign w:val="bottom"/>
          </w:tcPr>
          <w:p w14:paraId="46D1712D" w14:textId="77777777" w:rsidR="00D314F9" w:rsidRPr="009333E6" w:rsidRDefault="00D314F9" w:rsidP="002305DD">
            <w:pPr>
              <w:jc w:val="right"/>
              <w:rPr>
                <w:sz w:val="22"/>
                <w:szCs w:val="22"/>
              </w:rPr>
            </w:pPr>
            <w:r w:rsidRPr="009333E6">
              <w:rPr>
                <w:sz w:val="22"/>
                <w:szCs w:val="22"/>
              </w:rPr>
              <w:t>10.02%</w:t>
            </w:r>
          </w:p>
        </w:tc>
      </w:tr>
      <w:tr w:rsidR="009333E6" w:rsidRPr="009333E6" w14:paraId="7E94DCFF" w14:textId="77777777" w:rsidTr="00D314F9">
        <w:trPr>
          <w:trHeight w:val="276"/>
        </w:trPr>
        <w:tc>
          <w:tcPr>
            <w:tcW w:w="2820" w:type="pct"/>
            <w:shd w:val="clear" w:color="auto" w:fill="auto"/>
            <w:noWrap/>
            <w:vAlign w:val="bottom"/>
            <w:hideMark/>
          </w:tcPr>
          <w:p w14:paraId="63F1707D" w14:textId="5AF47665" w:rsidR="00D314F9" w:rsidRPr="009333E6" w:rsidRDefault="00D314F9" w:rsidP="002305DD">
            <w:pPr>
              <w:rPr>
                <w:sz w:val="22"/>
                <w:szCs w:val="22"/>
                <w:lang w:val="id-ID" w:eastAsia="zh-CN"/>
              </w:rPr>
            </w:pPr>
            <w:proofErr w:type="gramStart"/>
            <w:r w:rsidRPr="009333E6">
              <w:rPr>
                <w:sz w:val="22"/>
                <w:szCs w:val="22"/>
              </w:rPr>
              <w:t xml:space="preserve">Non </w:t>
            </w:r>
            <w:proofErr w:type="spellStart"/>
            <w:r w:rsidRPr="009333E6">
              <w:rPr>
                <w:sz w:val="22"/>
                <w:szCs w:val="22"/>
              </w:rPr>
              <w:t>Vegeta</w:t>
            </w:r>
            <w:proofErr w:type="spellEnd"/>
            <w:r w:rsidR="00DB1BCF" w:rsidRPr="009333E6">
              <w:rPr>
                <w:sz w:val="22"/>
                <w:szCs w:val="22"/>
                <w:lang w:val="id-ID"/>
              </w:rPr>
              <w:t>tion</w:t>
            </w:r>
            <w:proofErr w:type="gramEnd"/>
          </w:p>
        </w:tc>
        <w:tc>
          <w:tcPr>
            <w:tcW w:w="1090" w:type="pct"/>
            <w:shd w:val="clear" w:color="auto" w:fill="auto"/>
            <w:noWrap/>
            <w:vAlign w:val="bottom"/>
            <w:hideMark/>
          </w:tcPr>
          <w:p w14:paraId="407544A6" w14:textId="77777777" w:rsidR="00D314F9" w:rsidRPr="009333E6" w:rsidRDefault="00D314F9" w:rsidP="002305DD">
            <w:pPr>
              <w:jc w:val="right"/>
              <w:rPr>
                <w:sz w:val="22"/>
                <w:szCs w:val="22"/>
                <w:lang w:eastAsia="zh-CN"/>
              </w:rPr>
            </w:pPr>
            <w:r w:rsidRPr="009333E6">
              <w:rPr>
                <w:sz w:val="22"/>
                <w:szCs w:val="22"/>
              </w:rPr>
              <w:t>16.56</w:t>
            </w:r>
          </w:p>
        </w:tc>
        <w:tc>
          <w:tcPr>
            <w:tcW w:w="1089" w:type="pct"/>
            <w:shd w:val="clear" w:color="auto" w:fill="auto"/>
            <w:vAlign w:val="bottom"/>
          </w:tcPr>
          <w:p w14:paraId="6DD77AF4" w14:textId="77777777" w:rsidR="00D314F9" w:rsidRPr="009333E6" w:rsidRDefault="00D314F9" w:rsidP="002305DD">
            <w:pPr>
              <w:jc w:val="right"/>
              <w:rPr>
                <w:sz w:val="22"/>
                <w:szCs w:val="22"/>
              </w:rPr>
            </w:pPr>
            <w:r w:rsidRPr="009333E6">
              <w:rPr>
                <w:sz w:val="22"/>
                <w:szCs w:val="22"/>
              </w:rPr>
              <w:t>1.62%</w:t>
            </w:r>
          </w:p>
        </w:tc>
      </w:tr>
    </w:tbl>
    <w:p w14:paraId="2FEF144E" w14:textId="3548E971" w:rsidR="00D314F9" w:rsidRPr="009333E6" w:rsidRDefault="00D314F9" w:rsidP="00D314F9">
      <w:pPr>
        <w:ind w:left="66"/>
        <w:jc w:val="both"/>
        <w:rPr>
          <w:sz w:val="22"/>
          <w:szCs w:val="22"/>
        </w:rPr>
      </w:pPr>
      <w:r w:rsidRPr="009333E6">
        <w:rPr>
          <w:sz w:val="22"/>
          <w:szCs w:val="22"/>
        </w:rPr>
        <w:t>S</w:t>
      </w:r>
      <w:r w:rsidR="00DB1BCF" w:rsidRPr="009333E6">
        <w:rPr>
          <w:sz w:val="22"/>
          <w:szCs w:val="22"/>
          <w:lang w:val="id-ID"/>
        </w:rPr>
        <w:t>ource</w:t>
      </w:r>
      <w:r w:rsidRPr="009333E6">
        <w:rPr>
          <w:sz w:val="22"/>
          <w:szCs w:val="22"/>
        </w:rPr>
        <w:t>:</w:t>
      </w:r>
      <w:r w:rsidR="009C14F5">
        <w:rPr>
          <w:sz w:val="22"/>
          <w:szCs w:val="22"/>
        </w:rPr>
        <w:t xml:space="preserve"> </w:t>
      </w:r>
      <w:r w:rsidR="00DB1BCF" w:rsidRPr="009333E6">
        <w:rPr>
          <w:sz w:val="22"/>
          <w:szCs w:val="22"/>
          <w:lang w:val="id-ID"/>
        </w:rPr>
        <w:t>Analytical Resource</w:t>
      </w:r>
      <w:r w:rsidRPr="009333E6">
        <w:rPr>
          <w:sz w:val="22"/>
          <w:szCs w:val="22"/>
        </w:rPr>
        <w:t>, 2022</w:t>
      </w:r>
    </w:p>
    <w:p w14:paraId="2716A0C2" w14:textId="77777777" w:rsidR="00E30449" w:rsidRPr="009333E6" w:rsidRDefault="00E30449" w:rsidP="00D314F9">
      <w:pPr>
        <w:ind w:left="66"/>
        <w:jc w:val="both"/>
        <w:rPr>
          <w:sz w:val="22"/>
          <w:szCs w:val="22"/>
        </w:rPr>
      </w:pPr>
    </w:p>
    <w:p w14:paraId="6E52F86F" w14:textId="77777777" w:rsidR="001F3100" w:rsidRPr="009333E6" w:rsidRDefault="001F3100" w:rsidP="00D314F9">
      <w:pPr>
        <w:pStyle w:val="Caption"/>
        <w:spacing w:after="0"/>
        <w:jc w:val="both"/>
        <w:rPr>
          <w:rFonts w:ascii="Times New Roman" w:eastAsia="Times New Roman" w:hAnsi="Times New Roman" w:cs="Times New Roman"/>
          <w:i w:val="0"/>
          <w:iCs w:val="0"/>
          <w:color w:val="auto"/>
          <w:sz w:val="22"/>
          <w:szCs w:val="22"/>
        </w:rPr>
      </w:pPr>
      <w:r w:rsidRPr="009333E6">
        <w:rPr>
          <w:rFonts w:ascii="Times New Roman" w:eastAsia="Times New Roman" w:hAnsi="Times New Roman" w:cs="Times New Roman"/>
          <w:i w:val="0"/>
          <w:iCs w:val="0"/>
          <w:color w:val="auto"/>
          <w:sz w:val="22"/>
          <w:szCs w:val="22"/>
        </w:rPr>
        <w:t xml:space="preserve">TVDI as an indicator used to measure the level of drought in one study area, in the context of the research The Role of </w:t>
      </w:r>
      <w:proofErr w:type="spellStart"/>
      <w:r w:rsidRPr="009333E6">
        <w:rPr>
          <w:rFonts w:ascii="Times New Roman" w:eastAsia="Times New Roman" w:hAnsi="Times New Roman" w:cs="Times New Roman"/>
          <w:i w:val="0"/>
          <w:iCs w:val="0"/>
          <w:color w:val="auto"/>
          <w:sz w:val="22"/>
          <w:szCs w:val="22"/>
        </w:rPr>
        <w:t>Agro</w:t>
      </w:r>
      <w:proofErr w:type="spellEnd"/>
      <w:r w:rsidRPr="009333E6">
        <w:rPr>
          <w:rFonts w:ascii="Times New Roman" w:eastAsia="Times New Roman" w:hAnsi="Times New Roman" w:cs="Times New Roman"/>
          <w:i w:val="0"/>
          <w:iCs w:val="0"/>
          <w:color w:val="auto"/>
          <w:sz w:val="22"/>
          <w:szCs w:val="22"/>
        </w:rPr>
        <w:t xml:space="preserve">-tourism in Environmental Sustainability is used as a basis for measuring the role of tourist attraction in </w:t>
      </w:r>
      <w:proofErr w:type="spellStart"/>
      <w:r w:rsidRPr="009333E6">
        <w:rPr>
          <w:rFonts w:ascii="Times New Roman" w:eastAsia="Times New Roman" w:hAnsi="Times New Roman" w:cs="Times New Roman"/>
          <w:i w:val="0"/>
          <w:iCs w:val="0"/>
          <w:color w:val="auto"/>
          <w:sz w:val="22"/>
          <w:szCs w:val="22"/>
        </w:rPr>
        <w:t>Sidomulyo</w:t>
      </w:r>
      <w:proofErr w:type="spellEnd"/>
      <w:r w:rsidRPr="009333E6">
        <w:rPr>
          <w:rFonts w:ascii="Times New Roman" w:eastAsia="Times New Roman" w:hAnsi="Times New Roman" w:cs="Times New Roman"/>
          <w:i w:val="0"/>
          <w:iCs w:val="0"/>
          <w:color w:val="auto"/>
          <w:sz w:val="22"/>
          <w:szCs w:val="22"/>
        </w:rPr>
        <w:t xml:space="preserve"> Village on the basis of superior ornamental plant products seen from the level of drought</w:t>
      </w:r>
    </w:p>
    <w:p w14:paraId="424A88EF" w14:textId="77777777" w:rsidR="001F3100" w:rsidRPr="009333E6" w:rsidRDefault="001F3100" w:rsidP="00D314F9">
      <w:pPr>
        <w:pStyle w:val="Caption"/>
        <w:spacing w:after="0"/>
        <w:jc w:val="both"/>
        <w:rPr>
          <w:rFonts w:ascii="Times New Roman" w:hAnsi="Times New Roman" w:cs="Times New Roman"/>
          <w:b/>
          <w:bCs/>
          <w:i w:val="0"/>
          <w:iCs w:val="0"/>
          <w:color w:val="auto"/>
          <w:sz w:val="22"/>
          <w:szCs w:val="22"/>
        </w:rPr>
      </w:pPr>
    </w:p>
    <w:p w14:paraId="255F43C4" w14:textId="0AA78F9B" w:rsidR="00D314F9" w:rsidRPr="009333E6" w:rsidRDefault="00DB1BCF" w:rsidP="00D314F9">
      <w:pPr>
        <w:pStyle w:val="Caption"/>
        <w:spacing w:after="0"/>
        <w:jc w:val="both"/>
        <w:rPr>
          <w:rFonts w:ascii="Times New Roman" w:hAnsi="Times New Roman" w:cs="Times New Roman"/>
          <w:i w:val="0"/>
          <w:iCs w:val="0"/>
          <w:color w:val="auto"/>
          <w:sz w:val="22"/>
          <w:szCs w:val="22"/>
        </w:rPr>
      </w:pPr>
      <w:r w:rsidRPr="009333E6">
        <w:rPr>
          <w:rFonts w:ascii="Times New Roman" w:hAnsi="Times New Roman" w:cs="Times New Roman"/>
          <w:b/>
          <w:bCs/>
          <w:i w:val="0"/>
          <w:iCs w:val="0"/>
          <w:color w:val="auto"/>
          <w:sz w:val="22"/>
          <w:szCs w:val="22"/>
        </w:rPr>
        <w:t>Table</w:t>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b/>
          <w:bCs/>
          <w:i w:val="0"/>
          <w:iCs w:val="0"/>
          <w:color w:val="auto"/>
          <w:sz w:val="22"/>
          <w:szCs w:val="22"/>
        </w:rPr>
        <w:fldChar w:fldCharType="begin"/>
      </w:r>
      <w:r w:rsidR="00D314F9" w:rsidRPr="009333E6">
        <w:rPr>
          <w:rFonts w:ascii="Times New Roman" w:hAnsi="Times New Roman" w:cs="Times New Roman"/>
          <w:b/>
          <w:bCs/>
          <w:i w:val="0"/>
          <w:iCs w:val="0"/>
          <w:color w:val="auto"/>
          <w:sz w:val="22"/>
          <w:szCs w:val="22"/>
        </w:rPr>
        <w:instrText xml:space="preserve"> SEQ Tabel \* ARABIC </w:instrText>
      </w:r>
      <w:r w:rsidR="00D314F9" w:rsidRPr="009333E6">
        <w:rPr>
          <w:rFonts w:ascii="Times New Roman" w:hAnsi="Times New Roman" w:cs="Times New Roman"/>
          <w:b/>
          <w:bCs/>
          <w:i w:val="0"/>
          <w:iCs w:val="0"/>
          <w:color w:val="auto"/>
          <w:sz w:val="22"/>
          <w:szCs w:val="22"/>
        </w:rPr>
        <w:fldChar w:fldCharType="separate"/>
      </w:r>
      <w:r w:rsidR="00FE0125">
        <w:rPr>
          <w:rFonts w:ascii="Times New Roman" w:hAnsi="Times New Roman" w:cs="Times New Roman"/>
          <w:b/>
          <w:bCs/>
          <w:i w:val="0"/>
          <w:iCs w:val="0"/>
          <w:noProof/>
          <w:color w:val="auto"/>
          <w:sz w:val="22"/>
          <w:szCs w:val="22"/>
        </w:rPr>
        <w:t>3</w:t>
      </w:r>
      <w:r w:rsidR="00D314F9" w:rsidRPr="009333E6">
        <w:rPr>
          <w:rFonts w:ascii="Times New Roman" w:hAnsi="Times New Roman" w:cs="Times New Roman"/>
          <w:b/>
          <w:bCs/>
          <w:i w:val="0"/>
          <w:iCs w:val="0"/>
          <w:color w:val="auto"/>
          <w:sz w:val="22"/>
          <w:szCs w:val="22"/>
        </w:rPr>
        <w:fldChar w:fldCharType="end"/>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i w:val="0"/>
          <w:iCs w:val="0"/>
          <w:color w:val="auto"/>
          <w:sz w:val="22"/>
          <w:szCs w:val="22"/>
        </w:rPr>
        <w:t xml:space="preserve">Temperature Vegetation Dryness Index (TVDI) </w:t>
      </w:r>
      <w:r w:rsidRPr="009333E6">
        <w:rPr>
          <w:rFonts w:ascii="Times New Roman" w:hAnsi="Times New Roman" w:cs="Times New Roman"/>
          <w:i w:val="0"/>
          <w:iCs w:val="0"/>
          <w:color w:val="auto"/>
          <w:sz w:val="22"/>
          <w:szCs w:val="22"/>
          <w:lang w:val="id-ID"/>
        </w:rPr>
        <w:t>in</w:t>
      </w:r>
      <w:r w:rsidR="00D314F9" w:rsidRPr="009333E6">
        <w:rPr>
          <w:rFonts w:ascii="Times New Roman" w:hAnsi="Times New Roman" w:cs="Times New Roman"/>
          <w:i w:val="0"/>
          <w:iCs w:val="0"/>
          <w:color w:val="auto"/>
          <w:sz w:val="22"/>
          <w:szCs w:val="22"/>
        </w:rPr>
        <w:t xml:space="preserve"> </w:t>
      </w:r>
      <w:r w:rsidRPr="009333E6">
        <w:rPr>
          <w:rFonts w:ascii="Times New Roman" w:hAnsi="Times New Roman" w:cs="Times New Roman"/>
          <w:i w:val="0"/>
          <w:iCs w:val="0"/>
          <w:color w:val="auto"/>
          <w:sz w:val="22"/>
          <w:szCs w:val="22"/>
          <w:lang w:val="id-ID"/>
        </w:rPr>
        <w:t>Sidomulyo Village</w:t>
      </w:r>
      <w:r w:rsidR="00D314F9" w:rsidRPr="009333E6">
        <w:rPr>
          <w:rFonts w:ascii="Times New Roman" w:hAnsi="Times New Roman" w:cs="Times New Roman"/>
          <w:i w:val="0"/>
          <w:iCs w:val="0"/>
          <w:color w:val="auto"/>
          <w:sz w:val="22"/>
          <w:szCs w:val="22"/>
        </w:rPr>
        <w:t xml:space="preserve">, </w:t>
      </w:r>
      <w:proofErr w:type="spellStart"/>
      <w:r w:rsidR="00D314F9" w:rsidRPr="009333E6">
        <w:rPr>
          <w:rFonts w:ascii="Times New Roman" w:hAnsi="Times New Roman" w:cs="Times New Roman"/>
          <w:i w:val="0"/>
          <w:iCs w:val="0"/>
          <w:color w:val="auto"/>
          <w:sz w:val="22"/>
          <w:szCs w:val="22"/>
        </w:rPr>
        <w:t>Bumiaji</w:t>
      </w:r>
      <w:proofErr w:type="spellEnd"/>
      <w:r w:rsidR="00D314F9" w:rsidRPr="009333E6">
        <w:rPr>
          <w:rFonts w:ascii="Times New Roman" w:hAnsi="Times New Roman" w:cs="Times New Roman"/>
          <w:i w:val="0"/>
          <w:iCs w:val="0"/>
          <w:color w:val="auto"/>
          <w:sz w:val="22"/>
          <w:szCs w:val="22"/>
        </w:rPr>
        <w:t xml:space="preserve">, </w:t>
      </w:r>
      <w:r w:rsidRPr="009333E6">
        <w:rPr>
          <w:rFonts w:ascii="Times New Roman" w:hAnsi="Times New Roman" w:cs="Times New Roman"/>
          <w:i w:val="0"/>
          <w:iCs w:val="0"/>
          <w:color w:val="auto"/>
          <w:sz w:val="22"/>
          <w:szCs w:val="22"/>
          <w:lang w:val="id-ID"/>
        </w:rPr>
        <w:t>Batu City</w:t>
      </w:r>
      <w:r w:rsidR="00D314F9" w:rsidRPr="009333E6">
        <w:rPr>
          <w:rFonts w:ascii="Times New Roman" w:hAnsi="Times New Roman" w:cs="Times New Roman"/>
          <w:i w:val="0"/>
          <w:iCs w:val="0"/>
          <w:color w:val="auto"/>
          <w:sz w:val="22"/>
          <w:szCs w:val="22"/>
        </w:rPr>
        <w:t xml:space="preserve"> </w:t>
      </w:r>
    </w:p>
    <w:tbl>
      <w:tblPr>
        <w:tblW w:w="5066" w:type="pct"/>
        <w:tblLook w:val="04A0" w:firstRow="1" w:lastRow="0" w:firstColumn="1" w:lastColumn="0" w:noHBand="0" w:noVBand="1"/>
      </w:tblPr>
      <w:tblGrid>
        <w:gridCol w:w="943"/>
        <w:gridCol w:w="2047"/>
        <w:gridCol w:w="1443"/>
        <w:gridCol w:w="1591"/>
        <w:gridCol w:w="1157"/>
      </w:tblGrid>
      <w:tr w:rsidR="009333E6" w:rsidRPr="009333E6" w14:paraId="461FE411" w14:textId="77777777" w:rsidTr="0004272C">
        <w:trPr>
          <w:trHeight w:val="253"/>
          <w:tblHeader/>
        </w:trPr>
        <w:tc>
          <w:tcPr>
            <w:tcW w:w="735" w:type="pct"/>
            <w:tcBorders>
              <w:top w:val="single" w:sz="4" w:space="0" w:color="auto"/>
              <w:bottom w:val="single" w:sz="4" w:space="0" w:color="auto"/>
            </w:tcBorders>
            <w:shd w:val="clear" w:color="000000" w:fill="C0C0C0"/>
            <w:noWrap/>
            <w:vAlign w:val="bottom"/>
            <w:hideMark/>
          </w:tcPr>
          <w:p w14:paraId="52B7845B" w14:textId="7A16C322" w:rsidR="00D314F9" w:rsidRPr="009333E6" w:rsidRDefault="00DB1BCF" w:rsidP="002305DD">
            <w:pPr>
              <w:jc w:val="center"/>
              <w:rPr>
                <w:b/>
                <w:bCs/>
                <w:sz w:val="22"/>
                <w:szCs w:val="22"/>
                <w:lang w:val="id-ID" w:eastAsia="zh-CN"/>
              </w:rPr>
            </w:pPr>
            <w:r w:rsidRPr="009333E6">
              <w:rPr>
                <w:b/>
                <w:bCs/>
                <w:sz w:val="22"/>
                <w:szCs w:val="22"/>
                <w:lang w:val="id-ID" w:eastAsia="zh-CN"/>
              </w:rPr>
              <w:t>Class</w:t>
            </w:r>
          </w:p>
        </w:tc>
        <w:tc>
          <w:tcPr>
            <w:tcW w:w="1503" w:type="pct"/>
            <w:tcBorders>
              <w:top w:val="single" w:sz="4" w:space="0" w:color="auto"/>
              <w:bottom w:val="single" w:sz="4" w:space="0" w:color="auto"/>
            </w:tcBorders>
            <w:shd w:val="clear" w:color="000000" w:fill="C0C0C0"/>
            <w:noWrap/>
            <w:vAlign w:val="bottom"/>
            <w:hideMark/>
          </w:tcPr>
          <w:p w14:paraId="655D72D8" w14:textId="3938BEFE" w:rsidR="00D314F9" w:rsidRPr="009333E6" w:rsidRDefault="00DB1BCF" w:rsidP="002305DD">
            <w:pPr>
              <w:jc w:val="center"/>
              <w:rPr>
                <w:b/>
                <w:bCs/>
                <w:sz w:val="22"/>
                <w:szCs w:val="22"/>
                <w:lang w:val="id-ID" w:eastAsia="zh-CN"/>
              </w:rPr>
            </w:pPr>
            <w:r w:rsidRPr="009333E6">
              <w:rPr>
                <w:b/>
                <w:bCs/>
                <w:sz w:val="22"/>
                <w:szCs w:val="22"/>
                <w:lang w:val="id-ID" w:eastAsia="zh-CN"/>
              </w:rPr>
              <w:t>Dryness Index</w:t>
            </w:r>
          </w:p>
        </w:tc>
        <w:tc>
          <w:tcPr>
            <w:tcW w:w="1082" w:type="pct"/>
            <w:tcBorders>
              <w:top w:val="single" w:sz="4" w:space="0" w:color="auto"/>
              <w:bottom w:val="single" w:sz="4" w:space="0" w:color="auto"/>
            </w:tcBorders>
            <w:shd w:val="clear" w:color="000000" w:fill="C0C0C0"/>
            <w:noWrap/>
            <w:vAlign w:val="bottom"/>
            <w:hideMark/>
          </w:tcPr>
          <w:p w14:paraId="4D0BB5DD" w14:textId="77777777" w:rsidR="00D314F9" w:rsidRPr="009333E6" w:rsidRDefault="00D314F9" w:rsidP="002305DD">
            <w:pPr>
              <w:jc w:val="center"/>
              <w:rPr>
                <w:b/>
                <w:bCs/>
                <w:sz w:val="22"/>
                <w:szCs w:val="22"/>
                <w:lang w:eastAsia="zh-CN"/>
              </w:rPr>
            </w:pPr>
            <w:r w:rsidRPr="009333E6">
              <w:rPr>
                <w:b/>
                <w:bCs/>
                <w:sz w:val="22"/>
                <w:szCs w:val="22"/>
                <w:lang w:eastAsia="zh-CN"/>
              </w:rPr>
              <w:t>TDVI</w:t>
            </w:r>
          </w:p>
        </w:tc>
        <w:tc>
          <w:tcPr>
            <w:tcW w:w="821" w:type="pct"/>
            <w:tcBorders>
              <w:top w:val="single" w:sz="4" w:space="0" w:color="auto"/>
              <w:bottom w:val="single" w:sz="4" w:space="0" w:color="auto"/>
            </w:tcBorders>
            <w:shd w:val="clear" w:color="000000" w:fill="C0C0C0"/>
            <w:noWrap/>
            <w:vAlign w:val="bottom"/>
            <w:hideMark/>
          </w:tcPr>
          <w:p w14:paraId="554CC09E" w14:textId="7C5627A2" w:rsidR="00D314F9" w:rsidRPr="009333E6" w:rsidRDefault="00DB1BCF" w:rsidP="002305DD">
            <w:pPr>
              <w:jc w:val="center"/>
              <w:rPr>
                <w:b/>
                <w:bCs/>
                <w:sz w:val="22"/>
                <w:szCs w:val="22"/>
                <w:lang w:eastAsia="zh-CN"/>
              </w:rPr>
            </w:pPr>
            <w:r w:rsidRPr="009333E6">
              <w:rPr>
                <w:b/>
                <w:bCs/>
                <w:sz w:val="22"/>
                <w:szCs w:val="22"/>
                <w:lang w:val="id-ID" w:eastAsia="zh-CN"/>
              </w:rPr>
              <w:t>Coverage</w:t>
            </w:r>
            <w:r w:rsidR="00D314F9" w:rsidRPr="009333E6">
              <w:rPr>
                <w:b/>
                <w:bCs/>
                <w:sz w:val="22"/>
                <w:szCs w:val="22"/>
                <w:lang w:eastAsia="zh-CN"/>
              </w:rPr>
              <w:t xml:space="preserve"> (Ha) </w:t>
            </w:r>
          </w:p>
        </w:tc>
        <w:tc>
          <w:tcPr>
            <w:tcW w:w="859" w:type="pct"/>
            <w:tcBorders>
              <w:top w:val="single" w:sz="4" w:space="0" w:color="auto"/>
              <w:bottom w:val="single" w:sz="4" w:space="0" w:color="auto"/>
            </w:tcBorders>
            <w:shd w:val="clear" w:color="000000" w:fill="C0C0C0"/>
            <w:noWrap/>
            <w:vAlign w:val="bottom"/>
            <w:hideMark/>
          </w:tcPr>
          <w:p w14:paraId="7C86455C" w14:textId="3DDB7A00" w:rsidR="00D314F9" w:rsidRPr="009333E6" w:rsidRDefault="00D314F9" w:rsidP="002305DD">
            <w:pPr>
              <w:jc w:val="center"/>
              <w:rPr>
                <w:b/>
                <w:bCs/>
                <w:sz w:val="22"/>
                <w:szCs w:val="22"/>
                <w:lang w:val="id-ID" w:eastAsia="zh-CN"/>
              </w:rPr>
            </w:pPr>
            <w:r w:rsidRPr="009333E6">
              <w:rPr>
                <w:b/>
                <w:bCs/>
                <w:sz w:val="22"/>
                <w:szCs w:val="22"/>
                <w:lang w:eastAsia="zh-CN"/>
              </w:rPr>
              <w:t>Pe</w:t>
            </w:r>
            <w:r w:rsidR="00DB1BCF" w:rsidRPr="009333E6">
              <w:rPr>
                <w:b/>
                <w:bCs/>
                <w:sz w:val="22"/>
                <w:szCs w:val="22"/>
                <w:lang w:val="id-ID" w:eastAsia="zh-CN"/>
              </w:rPr>
              <w:t>centage</w:t>
            </w:r>
          </w:p>
        </w:tc>
      </w:tr>
      <w:tr w:rsidR="009333E6" w:rsidRPr="009333E6" w14:paraId="4694A221" w14:textId="77777777" w:rsidTr="00D314F9">
        <w:trPr>
          <w:trHeight w:val="253"/>
        </w:trPr>
        <w:tc>
          <w:tcPr>
            <w:tcW w:w="735" w:type="pct"/>
            <w:tcBorders>
              <w:top w:val="nil"/>
              <w:bottom w:val="single" w:sz="4" w:space="0" w:color="auto"/>
            </w:tcBorders>
            <w:shd w:val="clear" w:color="auto" w:fill="auto"/>
            <w:noWrap/>
            <w:vAlign w:val="bottom"/>
            <w:hideMark/>
          </w:tcPr>
          <w:p w14:paraId="507D2D93" w14:textId="645875C4" w:rsidR="00D314F9" w:rsidRPr="009333E6" w:rsidRDefault="00DB1BCF" w:rsidP="002305DD">
            <w:pPr>
              <w:jc w:val="center"/>
              <w:rPr>
                <w:sz w:val="22"/>
                <w:szCs w:val="22"/>
                <w:lang w:eastAsia="zh-CN"/>
              </w:rPr>
            </w:pPr>
            <w:r w:rsidRPr="009333E6">
              <w:rPr>
                <w:sz w:val="22"/>
                <w:szCs w:val="22"/>
                <w:lang w:val="id-ID" w:eastAsia="zh-CN"/>
              </w:rPr>
              <w:t>Class</w:t>
            </w:r>
            <w:r w:rsidR="00D314F9" w:rsidRPr="009333E6">
              <w:rPr>
                <w:sz w:val="22"/>
                <w:szCs w:val="22"/>
                <w:lang w:eastAsia="zh-CN"/>
              </w:rPr>
              <w:t xml:space="preserve"> 1</w:t>
            </w:r>
          </w:p>
        </w:tc>
        <w:tc>
          <w:tcPr>
            <w:tcW w:w="1503" w:type="pct"/>
            <w:tcBorders>
              <w:top w:val="nil"/>
              <w:bottom w:val="single" w:sz="4" w:space="0" w:color="auto"/>
            </w:tcBorders>
            <w:shd w:val="clear" w:color="auto" w:fill="auto"/>
            <w:noWrap/>
            <w:vAlign w:val="bottom"/>
            <w:hideMark/>
          </w:tcPr>
          <w:p w14:paraId="6D4A5297" w14:textId="7093C904" w:rsidR="00D314F9" w:rsidRPr="009333E6" w:rsidRDefault="00DB1BCF" w:rsidP="002305DD">
            <w:pPr>
              <w:jc w:val="center"/>
              <w:rPr>
                <w:sz w:val="22"/>
                <w:szCs w:val="22"/>
                <w:lang w:val="id-ID" w:eastAsia="zh-CN"/>
              </w:rPr>
            </w:pPr>
            <w:r w:rsidRPr="009333E6">
              <w:rPr>
                <w:sz w:val="22"/>
                <w:szCs w:val="22"/>
                <w:lang w:val="id-ID" w:eastAsia="zh-CN"/>
              </w:rPr>
              <w:t>Very Wet</w:t>
            </w:r>
          </w:p>
        </w:tc>
        <w:tc>
          <w:tcPr>
            <w:tcW w:w="1082" w:type="pct"/>
            <w:tcBorders>
              <w:top w:val="nil"/>
              <w:bottom w:val="single" w:sz="4" w:space="0" w:color="auto"/>
            </w:tcBorders>
            <w:shd w:val="clear" w:color="auto" w:fill="auto"/>
            <w:noWrap/>
            <w:vAlign w:val="bottom"/>
            <w:hideMark/>
          </w:tcPr>
          <w:p w14:paraId="574F642A" w14:textId="77777777" w:rsidR="00D314F9" w:rsidRPr="009333E6" w:rsidRDefault="00D314F9" w:rsidP="002305DD">
            <w:pPr>
              <w:jc w:val="center"/>
              <w:rPr>
                <w:sz w:val="22"/>
                <w:szCs w:val="22"/>
                <w:lang w:eastAsia="zh-CN"/>
              </w:rPr>
            </w:pPr>
            <w:r w:rsidRPr="009333E6">
              <w:rPr>
                <w:sz w:val="22"/>
                <w:szCs w:val="22"/>
                <w:lang w:eastAsia="zh-CN"/>
              </w:rPr>
              <w:t>0 - 0.2</w:t>
            </w:r>
          </w:p>
        </w:tc>
        <w:tc>
          <w:tcPr>
            <w:tcW w:w="821" w:type="pct"/>
            <w:tcBorders>
              <w:top w:val="nil"/>
              <w:bottom w:val="single" w:sz="4" w:space="0" w:color="auto"/>
            </w:tcBorders>
            <w:shd w:val="clear" w:color="auto" w:fill="auto"/>
            <w:noWrap/>
            <w:vAlign w:val="bottom"/>
            <w:hideMark/>
          </w:tcPr>
          <w:p w14:paraId="1BC27C19" w14:textId="77777777" w:rsidR="00D314F9" w:rsidRPr="009333E6" w:rsidRDefault="00D314F9" w:rsidP="002305DD">
            <w:pPr>
              <w:jc w:val="right"/>
              <w:rPr>
                <w:sz w:val="22"/>
                <w:szCs w:val="22"/>
                <w:lang w:eastAsia="zh-CN"/>
              </w:rPr>
            </w:pPr>
            <w:r w:rsidRPr="009333E6">
              <w:rPr>
                <w:sz w:val="22"/>
                <w:szCs w:val="22"/>
                <w:lang w:eastAsia="zh-CN"/>
              </w:rPr>
              <w:t>100.43</w:t>
            </w:r>
          </w:p>
        </w:tc>
        <w:tc>
          <w:tcPr>
            <w:tcW w:w="859" w:type="pct"/>
            <w:tcBorders>
              <w:top w:val="nil"/>
              <w:bottom w:val="single" w:sz="4" w:space="0" w:color="auto"/>
            </w:tcBorders>
            <w:shd w:val="clear" w:color="auto" w:fill="auto"/>
            <w:noWrap/>
            <w:vAlign w:val="bottom"/>
            <w:hideMark/>
          </w:tcPr>
          <w:p w14:paraId="0F1F8096" w14:textId="77777777" w:rsidR="00D314F9" w:rsidRPr="009333E6" w:rsidRDefault="00D314F9" w:rsidP="002305DD">
            <w:pPr>
              <w:jc w:val="right"/>
              <w:rPr>
                <w:sz w:val="22"/>
                <w:szCs w:val="22"/>
                <w:lang w:eastAsia="zh-CN"/>
              </w:rPr>
            </w:pPr>
            <w:r w:rsidRPr="009333E6">
              <w:rPr>
                <w:sz w:val="22"/>
                <w:szCs w:val="22"/>
                <w:lang w:eastAsia="zh-CN"/>
              </w:rPr>
              <w:t>41.40%</w:t>
            </w:r>
          </w:p>
        </w:tc>
      </w:tr>
      <w:tr w:rsidR="009333E6" w:rsidRPr="009333E6" w14:paraId="68BAED0F" w14:textId="77777777" w:rsidTr="00D314F9">
        <w:trPr>
          <w:trHeight w:val="253"/>
        </w:trPr>
        <w:tc>
          <w:tcPr>
            <w:tcW w:w="735" w:type="pct"/>
            <w:tcBorders>
              <w:top w:val="nil"/>
              <w:bottom w:val="single" w:sz="4" w:space="0" w:color="auto"/>
            </w:tcBorders>
            <w:shd w:val="clear" w:color="auto" w:fill="auto"/>
            <w:noWrap/>
            <w:vAlign w:val="bottom"/>
            <w:hideMark/>
          </w:tcPr>
          <w:p w14:paraId="4F1CA933" w14:textId="45D8F881" w:rsidR="00D314F9" w:rsidRPr="009333E6" w:rsidRDefault="00DB1BCF" w:rsidP="002305DD">
            <w:pPr>
              <w:jc w:val="center"/>
              <w:rPr>
                <w:sz w:val="22"/>
                <w:szCs w:val="22"/>
                <w:lang w:eastAsia="zh-CN"/>
              </w:rPr>
            </w:pPr>
            <w:r w:rsidRPr="009333E6">
              <w:rPr>
                <w:sz w:val="22"/>
                <w:szCs w:val="22"/>
                <w:lang w:val="id-ID" w:eastAsia="zh-CN"/>
              </w:rPr>
              <w:t>Class</w:t>
            </w:r>
            <w:r w:rsidR="00D314F9" w:rsidRPr="009333E6">
              <w:rPr>
                <w:sz w:val="22"/>
                <w:szCs w:val="22"/>
                <w:lang w:eastAsia="zh-CN"/>
              </w:rPr>
              <w:t xml:space="preserve"> 2</w:t>
            </w:r>
          </w:p>
        </w:tc>
        <w:tc>
          <w:tcPr>
            <w:tcW w:w="1503" w:type="pct"/>
            <w:tcBorders>
              <w:top w:val="nil"/>
              <w:bottom w:val="single" w:sz="4" w:space="0" w:color="auto"/>
            </w:tcBorders>
            <w:shd w:val="clear" w:color="auto" w:fill="auto"/>
            <w:noWrap/>
            <w:vAlign w:val="bottom"/>
            <w:hideMark/>
          </w:tcPr>
          <w:p w14:paraId="1993E1DF" w14:textId="170CF514" w:rsidR="00D314F9" w:rsidRPr="009333E6" w:rsidRDefault="00DB1BCF" w:rsidP="002305DD">
            <w:pPr>
              <w:jc w:val="center"/>
              <w:rPr>
                <w:sz w:val="22"/>
                <w:szCs w:val="22"/>
                <w:lang w:val="id-ID" w:eastAsia="zh-CN"/>
              </w:rPr>
            </w:pPr>
            <w:r w:rsidRPr="009333E6">
              <w:rPr>
                <w:sz w:val="22"/>
                <w:szCs w:val="22"/>
                <w:lang w:val="id-ID" w:eastAsia="zh-CN"/>
              </w:rPr>
              <w:t>Wet</w:t>
            </w:r>
          </w:p>
        </w:tc>
        <w:tc>
          <w:tcPr>
            <w:tcW w:w="1082" w:type="pct"/>
            <w:tcBorders>
              <w:top w:val="nil"/>
              <w:bottom w:val="single" w:sz="4" w:space="0" w:color="auto"/>
            </w:tcBorders>
            <w:shd w:val="clear" w:color="auto" w:fill="auto"/>
            <w:noWrap/>
            <w:vAlign w:val="bottom"/>
            <w:hideMark/>
          </w:tcPr>
          <w:p w14:paraId="594CE168" w14:textId="77777777" w:rsidR="00D314F9" w:rsidRPr="009333E6" w:rsidRDefault="00D314F9" w:rsidP="002305DD">
            <w:pPr>
              <w:jc w:val="center"/>
              <w:rPr>
                <w:sz w:val="22"/>
                <w:szCs w:val="22"/>
                <w:lang w:eastAsia="zh-CN"/>
              </w:rPr>
            </w:pPr>
            <w:r w:rsidRPr="009333E6">
              <w:rPr>
                <w:sz w:val="22"/>
                <w:szCs w:val="22"/>
                <w:lang w:eastAsia="zh-CN"/>
              </w:rPr>
              <w:t>0.2 - 0.4</w:t>
            </w:r>
          </w:p>
        </w:tc>
        <w:tc>
          <w:tcPr>
            <w:tcW w:w="821" w:type="pct"/>
            <w:tcBorders>
              <w:top w:val="nil"/>
              <w:bottom w:val="single" w:sz="4" w:space="0" w:color="auto"/>
            </w:tcBorders>
            <w:shd w:val="clear" w:color="auto" w:fill="auto"/>
            <w:noWrap/>
            <w:vAlign w:val="bottom"/>
            <w:hideMark/>
          </w:tcPr>
          <w:p w14:paraId="757031DD" w14:textId="77777777" w:rsidR="00D314F9" w:rsidRPr="009333E6" w:rsidRDefault="00D314F9" w:rsidP="002305DD">
            <w:pPr>
              <w:jc w:val="right"/>
              <w:rPr>
                <w:sz w:val="22"/>
                <w:szCs w:val="22"/>
                <w:lang w:eastAsia="zh-CN"/>
              </w:rPr>
            </w:pPr>
            <w:r w:rsidRPr="009333E6">
              <w:rPr>
                <w:sz w:val="22"/>
                <w:szCs w:val="22"/>
                <w:lang w:eastAsia="zh-CN"/>
              </w:rPr>
              <w:t>108.16</w:t>
            </w:r>
          </w:p>
        </w:tc>
        <w:tc>
          <w:tcPr>
            <w:tcW w:w="859" w:type="pct"/>
            <w:tcBorders>
              <w:top w:val="nil"/>
              <w:bottom w:val="single" w:sz="4" w:space="0" w:color="auto"/>
            </w:tcBorders>
            <w:shd w:val="clear" w:color="auto" w:fill="auto"/>
            <w:noWrap/>
            <w:vAlign w:val="bottom"/>
            <w:hideMark/>
          </w:tcPr>
          <w:p w14:paraId="6C35D861" w14:textId="77777777" w:rsidR="00D314F9" w:rsidRPr="009333E6" w:rsidRDefault="00D314F9" w:rsidP="002305DD">
            <w:pPr>
              <w:jc w:val="right"/>
              <w:rPr>
                <w:sz w:val="22"/>
                <w:szCs w:val="22"/>
                <w:lang w:eastAsia="zh-CN"/>
              </w:rPr>
            </w:pPr>
            <w:r w:rsidRPr="009333E6">
              <w:rPr>
                <w:sz w:val="22"/>
                <w:szCs w:val="22"/>
                <w:lang w:eastAsia="zh-CN"/>
              </w:rPr>
              <w:t>44.60%</w:t>
            </w:r>
          </w:p>
        </w:tc>
      </w:tr>
      <w:tr w:rsidR="009333E6" w:rsidRPr="009333E6" w14:paraId="2551152D" w14:textId="77777777" w:rsidTr="00D314F9">
        <w:trPr>
          <w:trHeight w:val="253"/>
        </w:trPr>
        <w:tc>
          <w:tcPr>
            <w:tcW w:w="735" w:type="pct"/>
            <w:tcBorders>
              <w:top w:val="nil"/>
              <w:bottom w:val="single" w:sz="4" w:space="0" w:color="auto"/>
            </w:tcBorders>
            <w:shd w:val="clear" w:color="auto" w:fill="auto"/>
            <w:noWrap/>
            <w:vAlign w:val="bottom"/>
            <w:hideMark/>
          </w:tcPr>
          <w:p w14:paraId="662540F9" w14:textId="44167C17" w:rsidR="00D314F9" w:rsidRPr="009333E6" w:rsidRDefault="00DB1BCF" w:rsidP="002305DD">
            <w:pPr>
              <w:jc w:val="center"/>
              <w:rPr>
                <w:sz w:val="22"/>
                <w:szCs w:val="22"/>
                <w:lang w:eastAsia="zh-CN"/>
              </w:rPr>
            </w:pPr>
            <w:r w:rsidRPr="009333E6">
              <w:rPr>
                <w:sz w:val="22"/>
                <w:szCs w:val="22"/>
                <w:lang w:val="id-ID" w:eastAsia="zh-CN"/>
              </w:rPr>
              <w:t>Class</w:t>
            </w:r>
            <w:r w:rsidR="00D314F9" w:rsidRPr="009333E6">
              <w:rPr>
                <w:sz w:val="22"/>
                <w:szCs w:val="22"/>
                <w:lang w:eastAsia="zh-CN"/>
              </w:rPr>
              <w:t xml:space="preserve"> 3</w:t>
            </w:r>
          </w:p>
        </w:tc>
        <w:tc>
          <w:tcPr>
            <w:tcW w:w="1503" w:type="pct"/>
            <w:tcBorders>
              <w:top w:val="nil"/>
              <w:bottom w:val="single" w:sz="4" w:space="0" w:color="auto"/>
            </w:tcBorders>
            <w:shd w:val="clear" w:color="auto" w:fill="auto"/>
            <w:noWrap/>
            <w:vAlign w:val="bottom"/>
            <w:hideMark/>
          </w:tcPr>
          <w:p w14:paraId="3E3A7935" w14:textId="77777777" w:rsidR="00D314F9" w:rsidRPr="009333E6" w:rsidRDefault="00D314F9" w:rsidP="002305DD">
            <w:pPr>
              <w:jc w:val="center"/>
              <w:rPr>
                <w:sz w:val="22"/>
                <w:szCs w:val="22"/>
                <w:lang w:eastAsia="zh-CN"/>
              </w:rPr>
            </w:pPr>
            <w:r w:rsidRPr="009333E6">
              <w:rPr>
                <w:sz w:val="22"/>
                <w:szCs w:val="22"/>
                <w:lang w:eastAsia="zh-CN"/>
              </w:rPr>
              <w:t>Normal</w:t>
            </w:r>
          </w:p>
        </w:tc>
        <w:tc>
          <w:tcPr>
            <w:tcW w:w="1082" w:type="pct"/>
            <w:tcBorders>
              <w:top w:val="nil"/>
              <w:bottom w:val="single" w:sz="4" w:space="0" w:color="auto"/>
            </w:tcBorders>
            <w:shd w:val="clear" w:color="auto" w:fill="auto"/>
            <w:noWrap/>
            <w:vAlign w:val="bottom"/>
            <w:hideMark/>
          </w:tcPr>
          <w:p w14:paraId="6448BD8B" w14:textId="77777777" w:rsidR="00D314F9" w:rsidRPr="009333E6" w:rsidRDefault="00D314F9" w:rsidP="002305DD">
            <w:pPr>
              <w:jc w:val="center"/>
              <w:rPr>
                <w:sz w:val="22"/>
                <w:szCs w:val="22"/>
                <w:lang w:eastAsia="zh-CN"/>
              </w:rPr>
            </w:pPr>
            <w:r w:rsidRPr="009333E6">
              <w:rPr>
                <w:sz w:val="22"/>
                <w:szCs w:val="22"/>
                <w:lang w:eastAsia="zh-CN"/>
              </w:rPr>
              <w:t>0.4 - 0.6</w:t>
            </w:r>
          </w:p>
        </w:tc>
        <w:tc>
          <w:tcPr>
            <w:tcW w:w="821" w:type="pct"/>
            <w:tcBorders>
              <w:top w:val="nil"/>
              <w:bottom w:val="single" w:sz="4" w:space="0" w:color="auto"/>
            </w:tcBorders>
            <w:shd w:val="clear" w:color="auto" w:fill="auto"/>
            <w:noWrap/>
            <w:vAlign w:val="bottom"/>
            <w:hideMark/>
          </w:tcPr>
          <w:p w14:paraId="559C6EC9" w14:textId="77777777" w:rsidR="00D314F9" w:rsidRPr="009333E6" w:rsidRDefault="00D314F9" w:rsidP="002305DD">
            <w:pPr>
              <w:jc w:val="right"/>
              <w:rPr>
                <w:sz w:val="22"/>
                <w:szCs w:val="22"/>
                <w:lang w:eastAsia="zh-CN"/>
              </w:rPr>
            </w:pPr>
            <w:r w:rsidRPr="009333E6">
              <w:rPr>
                <w:sz w:val="22"/>
                <w:szCs w:val="22"/>
                <w:lang w:eastAsia="zh-CN"/>
              </w:rPr>
              <w:t>33.03</w:t>
            </w:r>
          </w:p>
        </w:tc>
        <w:tc>
          <w:tcPr>
            <w:tcW w:w="859" w:type="pct"/>
            <w:tcBorders>
              <w:top w:val="nil"/>
              <w:bottom w:val="single" w:sz="4" w:space="0" w:color="auto"/>
            </w:tcBorders>
            <w:shd w:val="clear" w:color="auto" w:fill="auto"/>
            <w:noWrap/>
            <w:vAlign w:val="bottom"/>
            <w:hideMark/>
          </w:tcPr>
          <w:p w14:paraId="6D53076F" w14:textId="77777777" w:rsidR="00D314F9" w:rsidRPr="009333E6" w:rsidRDefault="00D314F9" w:rsidP="002305DD">
            <w:pPr>
              <w:jc w:val="right"/>
              <w:rPr>
                <w:sz w:val="22"/>
                <w:szCs w:val="22"/>
                <w:lang w:eastAsia="zh-CN"/>
              </w:rPr>
            </w:pPr>
            <w:r w:rsidRPr="009333E6">
              <w:rPr>
                <w:sz w:val="22"/>
                <w:szCs w:val="22"/>
                <w:lang w:eastAsia="zh-CN"/>
              </w:rPr>
              <w:t>13.60%</w:t>
            </w:r>
          </w:p>
        </w:tc>
      </w:tr>
      <w:tr w:rsidR="009333E6" w:rsidRPr="009333E6" w14:paraId="5055D50C" w14:textId="77777777" w:rsidTr="00D314F9">
        <w:trPr>
          <w:trHeight w:val="253"/>
        </w:trPr>
        <w:tc>
          <w:tcPr>
            <w:tcW w:w="735" w:type="pct"/>
            <w:tcBorders>
              <w:top w:val="nil"/>
              <w:bottom w:val="single" w:sz="4" w:space="0" w:color="auto"/>
            </w:tcBorders>
            <w:shd w:val="clear" w:color="auto" w:fill="auto"/>
            <w:noWrap/>
            <w:vAlign w:val="bottom"/>
            <w:hideMark/>
          </w:tcPr>
          <w:p w14:paraId="32A62FE6" w14:textId="0CAB4D14" w:rsidR="00D314F9" w:rsidRPr="009333E6" w:rsidRDefault="00DB1BCF" w:rsidP="002305DD">
            <w:pPr>
              <w:jc w:val="center"/>
              <w:rPr>
                <w:sz w:val="22"/>
                <w:szCs w:val="22"/>
                <w:lang w:eastAsia="zh-CN"/>
              </w:rPr>
            </w:pPr>
            <w:r w:rsidRPr="009333E6">
              <w:rPr>
                <w:sz w:val="22"/>
                <w:szCs w:val="22"/>
                <w:lang w:val="id-ID" w:eastAsia="zh-CN"/>
              </w:rPr>
              <w:t>Class</w:t>
            </w:r>
            <w:r w:rsidR="00D314F9" w:rsidRPr="009333E6">
              <w:rPr>
                <w:sz w:val="22"/>
                <w:szCs w:val="22"/>
                <w:lang w:eastAsia="zh-CN"/>
              </w:rPr>
              <w:t xml:space="preserve"> 4</w:t>
            </w:r>
          </w:p>
        </w:tc>
        <w:tc>
          <w:tcPr>
            <w:tcW w:w="1503" w:type="pct"/>
            <w:tcBorders>
              <w:top w:val="nil"/>
              <w:bottom w:val="single" w:sz="4" w:space="0" w:color="auto"/>
            </w:tcBorders>
            <w:shd w:val="clear" w:color="auto" w:fill="auto"/>
            <w:noWrap/>
            <w:vAlign w:val="bottom"/>
            <w:hideMark/>
          </w:tcPr>
          <w:p w14:paraId="2C884826" w14:textId="5074A7C1" w:rsidR="00D314F9" w:rsidRPr="009333E6" w:rsidRDefault="00DB1BCF" w:rsidP="002305DD">
            <w:pPr>
              <w:jc w:val="center"/>
              <w:rPr>
                <w:sz w:val="22"/>
                <w:szCs w:val="22"/>
                <w:lang w:val="id-ID" w:eastAsia="zh-CN"/>
              </w:rPr>
            </w:pPr>
            <w:r w:rsidRPr="009333E6">
              <w:rPr>
                <w:sz w:val="22"/>
                <w:szCs w:val="22"/>
                <w:lang w:val="id-ID" w:eastAsia="zh-CN"/>
              </w:rPr>
              <w:t>Dry</w:t>
            </w:r>
          </w:p>
        </w:tc>
        <w:tc>
          <w:tcPr>
            <w:tcW w:w="1082" w:type="pct"/>
            <w:tcBorders>
              <w:top w:val="nil"/>
              <w:bottom w:val="single" w:sz="4" w:space="0" w:color="auto"/>
            </w:tcBorders>
            <w:shd w:val="clear" w:color="auto" w:fill="auto"/>
            <w:noWrap/>
            <w:vAlign w:val="bottom"/>
            <w:hideMark/>
          </w:tcPr>
          <w:p w14:paraId="03449920" w14:textId="77777777" w:rsidR="00D314F9" w:rsidRPr="009333E6" w:rsidRDefault="00D314F9" w:rsidP="002305DD">
            <w:pPr>
              <w:jc w:val="center"/>
              <w:rPr>
                <w:sz w:val="22"/>
                <w:szCs w:val="22"/>
                <w:lang w:eastAsia="zh-CN"/>
              </w:rPr>
            </w:pPr>
            <w:r w:rsidRPr="009333E6">
              <w:rPr>
                <w:sz w:val="22"/>
                <w:szCs w:val="22"/>
                <w:lang w:eastAsia="zh-CN"/>
              </w:rPr>
              <w:t>0.6 - 0.8</w:t>
            </w:r>
          </w:p>
        </w:tc>
        <w:tc>
          <w:tcPr>
            <w:tcW w:w="821" w:type="pct"/>
            <w:tcBorders>
              <w:top w:val="nil"/>
              <w:bottom w:val="single" w:sz="4" w:space="0" w:color="auto"/>
            </w:tcBorders>
            <w:shd w:val="clear" w:color="auto" w:fill="auto"/>
            <w:noWrap/>
            <w:vAlign w:val="bottom"/>
            <w:hideMark/>
          </w:tcPr>
          <w:p w14:paraId="79B30064" w14:textId="77777777" w:rsidR="00D314F9" w:rsidRPr="009333E6" w:rsidRDefault="00D314F9" w:rsidP="002305DD">
            <w:pPr>
              <w:jc w:val="right"/>
              <w:rPr>
                <w:sz w:val="22"/>
                <w:szCs w:val="22"/>
                <w:lang w:eastAsia="zh-CN"/>
              </w:rPr>
            </w:pPr>
            <w:r w:rsidRPr="009333E6">
              <w:rPr>
                <w:sz w:val="22"/>
                <w:szCs w:val="22"/>
                <w:lang w:eastAsia="zh-CN"/>
              </w:rPr>
              <w:t>0.68</w:t>
            </w:r>
          </w:p>
        </w:tc>
        <w:tc>
          <w:tcPr>
            <w:tcW w:w="859" w:type="pct"/>
            <w:tcBorders>
              <w:top w:val="nil"/>
              <w:bottom w:val="single" w:sz="4" w:space="0" w:color="auto"/>
            </w:tcBorders>
            <w:shd w:val="clear" w:color="auto" w:fill="auto"/>
            <w:noWrap/>
            <w:vAlign w:val="bottom"/>
            <w:hideMark/>
          </w:tcPr>
          <w:p w14:paraId="6322FD21" w14:textId="77777777" w:rsidR="00D314F9" w:rsidRPr="009333E6" w:rsidRDefault="00D314F9" w:rsidP="002305DD">
            <w:pPr>
              <w:jc w:val="right"/>
              <w:rPr>
                <w:sz w:val="22"/>
                <w:szCs w:val="22"/>
                <w:lang w:eastAsia="zh-CN"/>
              </w:rPr>
            </w:pPr>
            <w:r w:rsidRPr="009333E6">
              <w:rPr>
                <w:sz w:val="22"/>
                <w:szCs w:val="22"/>
                <w:lang w:eastAsia="zh-CN"/>
              </w:rPr>
              <w:t>0.30%</w:t>
            </w:r>
          </w:p>
        </w:tc>
      </w:tr>
      <w:tr w:rsidR="009333E6" w:rsidRPr="009333E6" w14:paraId="22A98726" w14:textId="77777777" w:rsidTr="00D314F9">
        <w:trPr>
          <w:trHeight w:val="253"/>
        </w:trPr>
        <w:tc>
          <w:tcPr>
            <w:tcW w:w="735" w:type="pct"/>
            <w:tcBorders>
              <w:top w:val="nil"/>
              <w:bottom w:val="single" w:sz="4" w:space="0" w:color="auto"/>
            </w:tcBorders>
            <w:shd w:val="clear" w:color="auto" w:fill="auto"/>
            <w:noWrap/>
            <w:vAlign w:val="bottom"/>
            <w:hideMark/>
          </w:tcPr>
          <w:p w14:paraId="07DB0315" w14:textId="083E4ED6" w:rsidR="00D314F9" w:rsidRPr="009333E6" w:rsidRDefault="00DB1BCF" w:rsidP="002305DD">
            <w:pPr>
              <w:jc w:val="center"/>
              <w:rPr>
                <w:sz w:val="22"/>
                <w:szCs w:val="22"/>
                <w:lang w:eastAsia="zh-CN"/>
              </w:rPr>
            </w:pPr>
            <w:r w:rsidRPr="009333E6">
              <w:rPr>
                <w:sz w:val="22"/>
                <w:szCs w:val="22"/>
                <w:lang w:val="id-ID" w:eastAsia="zh-CN"/>
              </w:rPr>
              <w:t>Class</w:t>
            </w:r>
            <w:r w:rsidR="00D314F9" w:rsidRPr="009333E6">
              <w:rPr>
                <w:sz w:val="22"/>
                <w:szCs w:val="22"/>
                <w:lang w:eastAsia="zh-CN"/>
              </w:rPr>
              <w:t xml:space="preserve"> 5</w:t>
            </w:r>
          </w:p>
        </w:tc>
        <w:tc>
          <w:tcPr>
            <w:tcW w:w="1503" w:type="pct"/>
            <w:tcBorders>
              <w:top w:val="nil"/>
              <w:bottom w:val="single" w:sz="4" w:space="0" w:color="auto"/>
            </w:tcBorders>
            <w:shd w:val="clear" w:color="auto" w:fill="auto"/>
            <w:noWrap/>
            <w:vAlign w:val="bottom"/>
            <w:hideMark/>
          </w:tcPr>
          <w:p w14:paraId="7811E84F" w14:textId="096E3A34" w:rsidR="00D314F9" w:rsidRPr="009333E6" w:rsidRDefault="00DB1BCF" w:rsidP="002305DD">
            <w:pPr>
              <w:jc w:val="center"/>
              <w:rPr>
                <w:sz w:val="22"/>
                <w:szCs w:val="22"/>
                <w:lang w:val="id-ID" w:eastAsia="zh-CN"/>
              </w:rPr>
            </w:pPr>
            <w:r w:rsidRPr="009333E6">
              <w:rPr>
                <w:sz w:val="22"/>
                <w:szCs w:val="22"/>
                <w:lang w:val="id-ID" w:eastAsia="zh-CN"/>
              </w:rPr>
              <w:t>Very Dry</w:t>
            </w:r>
          </w:p>
        </w:tc>
        <w:tc>
          <w:tcPr>
            <w:tcW w:w="1082" w:type="pct"/>
            <w:tcBorders>
              <w:top w:val="nil"/>
              <w:bottom w:val="single" w:sz="4" w:space="0" w:color="auto"/>
            </w:tcBorders>
            <w:shd w:val="clear" w:color="auto" w:fill="auto"/>
            <w:noWrap/>
            <w:vAlign w:val="bottom"/>
            <w:hideMark/>
          </w:tcPr>
          <w:p w14:paraId="620A1AEE" w14:textId="77777777" w:rsidR="00D314F9" w:rsidRPr="009333E6" w:rsidRDefault="00D314F9" w:rsidP="002305DD">
            <w:pPr>
              <w:jc w:val="center"/>
              <w:rPr>
                <w:sz w:val="22"/>
                <w:szCs w:val="22"/>
                <w:lang w:eastAsia="zh-CN"/>
              </w:rPr>
            </w:pPr>
            <w:r w:rsidRPr="009333E6">
              <w:rPr>
                <w:sz w:val="22"/>
                <w:szCs w:val="22"/>
                <w:lang w:eastAsia="zh-CN"/>
              </w:rPr>
              <w:t>0.8 - 1.0</w:t>
            </w:r>
          </w:p>
        </w:tc>
        <w:tc>
          <w:tcPr>
            <w:tcW w:w="821" w:type="pct"/>
            <w:tcBorders>
              <w:top w:val="nil"/>
              <w:bottom w:val="single" w:sz="4" w:space="0" w:color="auto"/>
            </w:tcBorders>
            <w:shd w:val="clear" w:color="auto" w:fill="auto"/>
            <w:noWrap/>
            <w:vAlign w:val="bottom"/>
            <w:hideMark/>
          </w:tcPr>
          <w:p w14:paraId="38B7FC98" w14:textId="77777777" w:rsidR="00D314F9" w:rsidRPr="009333E6" w:rsidRDefault="00D314F9" w:rsidP="002305DD">
            <w:pPr>
              <w:jc w:val="right"/>
              <w:rPr>
                <w:sz w:val="22"/>
                <w:szCs w:val="22"/>
                <w:lang w:eastAsia="zh-CN"/>
              </w:rPr>
            </w:pPr>
            <w:r w:rsidRPr="009333E6">
              <w:rPr>
                <w:sz w:val="22"/>
                <w:szCs w:val="22"/>
                <w:lang w:eastAsia="zh-CN"/>
              </w:rPr>
              <w:t>0.00</w:t>
            </w:r>
          </w:p>
        </w:tc>
        <w:tc>
          <w:tcPr>
            <w:tcW w:w="859" w:type="pct"/>
            <w:tcBorders>
              <w:top w:val="nil"/>
              <w:bottom w:val="single" w:sz="4" w:space="0" w:color="auto"/>
            </w:tcBorders>
            <w:shd w:val="clear" w:color="auto" w:fill="auto"/>
            <w:noWrap/>
            <w:vAlign w:val="bottom"/>
            <w:hideMark/>
          </w:tcPr>
          <w:p w14:paraId="05622EC9" w14:textId="77777777" w:rsidR="00D314F9" w:rsidRPr="009333E6" w:rsidRDefault="00D314F9" w:rsidP="002305DD">
            <w:pPr>
              <w:jc w:val="right"/>
              <w:rPr>
                <w:sz w:val="22"/>
                <w:szCs w:val="22"/>
                <w:lang w:eastAsia="zh-CN"/>
              </w:rPr>
            </w:pPr>
            <w:r w:rsidRPr="009333E6">
              <w:rPr>
                <w:sz w:val="22"/>
                <w:szCs w:val="22"/>
                <w:lang w:eastAsia="zh-CN"/>
              </w:rPr>
              <w:t>-</w:t>
            </w:r>
          </w:p>
        </w:tc>
      </w:tr>
      <w:tr w:rsidR="009333E6" w:rsidRPr="009333E6" w14:paraId="62B8B2BD" w14:textId="77777777" w:rsidTr="00D314F9">
        <w:trPr>
          <w:trHeight w:val="253"/>
        </w:trPr>
        <w:tc>
          <w:tcPr>
            <w:tcW w:w="3320" w:type="pct"/>
            <w:gridSpan w:val="3"/>
            <w:tcBorders>
              <w:top w:val="single" w:sz="4" w:space="0" w:color="auto"/>
              <w:bottom w:val="single" w:sz="4" w:space="0" w:color="auto"/>
            </w:tcBorders>
            <w:shd w:val="clear" w:color="auto" w:fill="auto"/>
            <w:noWrap/>
            <w:vAlign w:val="bottom"/>
            <w:hideMark/>
          </w:tcPr>
          <w:p w14:paraId="5CB28423" w14:textId="4B6DCD97" w:rsidR="00D314F9" w:rsidRPr="009333E6" w:rsidRDefault="00DB1BCF" w:rsidP="002305DD">
            <w:pPr>
              <w:jc w:val="center"/>
              <w:rPr>
                <w:b/>
                <w:bCs/>
                <w:sz w:val="22"/>
                <w:szCs w:val="22"/>
                <w:lang w:val="id-ID" w:eastAsia="zh-CN"/>
              </w:rPr>
            </w:pPr>
            <w:r w:rsidRPr="009333E6">
              <w:rPr>
                <w:b/>
                <w:bCs/>
                <w:sz w:val="22"/>
                <w:szCs w:val="22"/>
                <w:lang w:val="id-ID" w:eastAsia="zh-CN"/>
              </w:rPr>
              <w:t>Total</w:t>
            </w:r>
          </w:p>
        </w:tc>
        <w:tc>
          <w:tcPr>
            <w:tcW w:w="821" w:type="pct"/>
            <w:tcBorders>
              <w:top w:val="nil"/>
              <w:bottom w:val="single" w:sz="4" w:space="0" w:color="auto"/>
            </w:tcBorders>
            <w:shd w:val="clear" w:color="auto" w:fill="auto"/>
            <w:noWrap/>
            <w:vAlign w:val="bottom"/>
            <w:hideMark/>
          </w:tcPr>
          <w:p w14:paraId="4784098E" w14:textId="77777777" w:rsidR="00D314F9" w:rsidRPr="009333E6" w:rsidRDefault="00D314F9" w:rsidP="002305DD">
            <w:pPr>
              <w:jc w:val="right"/>
              <w:rPr>
                <w:sz w:val="22"/>
                <w:szCs w:val="22"/>
                <w:lang w:eastAsia="zh-CN"/>
              </w:rPr>
            </w:pPr>
            <w:r w:rsidRPr="009333E6">
              <w:rPr>
                <w:sz w:val="22"/>
                <w:szCs w:val="22"/>
                <w:lang w:eastAsia="zh-CN"/>
              </w:rPr>
              <w:t>242.31</w:t>
            </w:r>
          </w:p>
        </w:tc>
        <w:tc>
          <w:tcPr>
            <w:tcW w:w="859" w:type="pct"/>
            <w:tcBorders>
              <w:top w:val="nil"/>
              <w:bottom w:val="single" w:sz="4" w:space="0" w:color="auto"/>
            </w:tcBorders>
            <w:shd w:val="clear" w:color="auto" w:fill="auto"/>
            <w:noWrap/>
            <w:vAlign w:val="bottom"/>
            <w:hideMark/>
          </w:tcPr>
          <w:p w14:paraId="2F6F7A6F" w14:textId="77777777" w:rsidR="00D314F9" w:rsidRPr="009333E6" w:rsidRDefault="00D314F9" w:rsidP="002305DD">
            <w:pPr>
              <w:jc w:val="right"/>
              <w:rPr>
                <w:sz w:val="22"/>
                <w:szCs w:val="22"/>
                <w:lang w:eastAsia="zh-CN"/>
              </w:rPr>
            </w:pPr>
            <w:r w:rsidRPr="009333E6">
              <w:rPr>
                <w:sz w:val="22"/>
                <w:szCs w:val="22"/>
                <w:lang w:eastAsia="zh-CN"/>
              </w:rPr>
              <w:t>100%</w:t>
            </w:r>
          </w:p>
        </w:tc>
      </w:tr>
    </w:tbl>
    <w:p w14:paraId="62ADE243" w14:textId="4B0E68A7" w:rsidR="00D314F9" w:rsidRPr="009333E6" w:rsidRDefault="00D314F9" w:rsidP="00D314F9">
      <w:pPr>
        <w:ind w:left="66"/>
        <w:jc w:val="both"/>
        <w:rPr>
          <w:sz w:val="22"/>
          <w:szCs w:val="22"/>
        </w:rPr>
      </w:pPr>
      <w:r w:rsidRPr="009333E6">
        <w:rPr>
          <w:sz w:val="22"/>
          <w:szCs w:val="22"/>
        </w:rPr>
        <w:t xml:space="preserve">Sumber: </w:t>
      </w:r>
      <w:r w:rsidR="00DB1BCF" w:rsidRPr="009333E6">
        <w:rPr>
          <w:sz w:val="22"/>
          <w:szCs w:val="22"/>
          <w:lang w:val="id-ID"/>
        </w:rPr>
        <w:t>Analytical Result</w:t>
      </w:r>
      <w:r w:rsidRPr="009333E6">
        <w:rPr>
          <w:sz w:val="22"/>
          <w:szCs w:val="22"/>
        </w:rPr>
        <w:t>, 2022</w:t>
      </w:r>
    </w:p>
    <w:p w14:paraId="43CE09DE" w14:textId="2FD890E7" w:rsidR="00D314F9" w:rsidRPr="009333E6" w:rsidRDefault="00D314F9" w:rsidP="00E30449">
      <w:pPr>
        <w:pStyle w:val="Heading2"/>
        <w:rPr>
          <w:rFonts w:cs="Times New Roman"/>
          <w:b w:val="0"/>
          <w:bCs w:val="0"/>
          <w:sz w:val="22"/>
          <w:szCs w:val="22"/>
        </w:rPr>
      </w:pPr>
      <w:r w:rsidRPr="009333E6">
        <w:rPr>
          <w:rFonts w:cs="Times New Roman"/>
          <w:sz w:val="22"/>
          <w:szCs w:val="22"/>
        </w:rPr>
        <w:lastRenderedPageBreak/>
        <w:t xml:space="preserve"> </w:t>
      </w:r>
      <w:r w:rsidR="001F3100" w:rsidRPr="009333E6">
        <w:rPr>
          <w:rFonts w:cs="Times New Roman"/>
          <w:sz w:val="22"/>
          <w:szCs w:val="22"/>
        </w:rPr>
        <w:t xml:space="preserve">Agrotourism Area Representation in </w:t>
      </w:r>
      <w:proofErr w:type="spellStart"/>
      <w:r w:rsidR="001F3100" w:rsidRPr="009333E6">
        <w:rPr>
          <w:rFonts w:cs="Times New Roman"/>
          <w:sz w:val="22"/>
          <w:szCs w:val="22"/>
        </w:rPr>
        <w:t>Sumbergondo</w:t>
      </w:r>
      <w:proofErr w:type="spellEnd"/>
      <w:r w:rsidR="001F3100" w:rsidRPr="009333E6">
        <w:rPr>
          <w:rFonts w:cs="Times New Roman"/>
          <w:sz w:val="22"/>
          <w:szCs w:val="22"/>
        </w:rPr>
        <w:t xml:space="preserve"> Village, Batu City</w:t>
      </w:r>
      <w:r w:rsidRPr="009333E6">
        <w:rPr>
          <w:rFonts w:cs="Times New Roman"/>
          <w:sz w:val="22"/>
          <w:szCs w:val="22"/>
        </w:rPr>
        <w:t xml:space="preserve"> </w:t>
      </w:r>
    </w:p>
    <w:p w14:paraId="3057BBAA" w14:textId="5EA7ADE2" w:rsidR="001F3100" w:rsidRPr="009333E6" w:rsidRDefault="001F3100" w:rsidP="00D314F9">
      <w:pPr>
        <w:jc w:val="both"/>
        <w:rPr>
          <w:sz w:val="22"/>
          <w:szCs w:val="22"/>
        </w:rPr>
      </w:pPr>
      <w:proofErr w:type="spellStart"/>
      <w:r w:rsidRPr="009333E6">
        <w:rPr>
          <w:sz w:val="22"/>
          <w:szCs w:val="22"/>
        </w:rPr>
        <w:t>Sumbergondo</w:t>
      </w:r>
      <w:proofErr w:type="spellEnd"/>
      <w:r w:rsidRPr="009333E6">
        <w:rPr>
          <w:sz w:val="22"/>
          <w:szCs w:val="22"/>
        </w:rPr>
        <w:t xml:space="preserve"> Village is one of the </w:t>
      </w:r>
      <w:proofErr w:type="spellStart"/>
      <w:r w:rsidRPr="009333E6">
        <w:rPr>
          <w:sz w:val="22"/>
          <w:szCs w:val="22"/>
        </w:rPr>
        <w:t>agro</w:t>
      </w:r>
      <w:proofErr w:type="spellEnd"/>
      <w:r w:rsidRPr="009333E6">
        <w:rPr>
          <w:sz w:val="22"/>
          <w:szCs w:val="22"/>
        </w:rPr>
        <w:t xml:space="preserve">-tourism destinations in </w:t>
      </w:r>
      <w:proofErr w:type="spellStart"/>
      <w:r w:rsidRPr="009333E6">
        <w:rPr>
          <w:sz w:val="22"/>
          <w:szCs w:val="22"/>
        </w:rPr>
        <w:t>Bumiaji</w:t>
      </w:r>
      <w:proofErr w:type="spellEnd"/>
      <w:r w:rsidRPr="009333E6">
        <w:rPr>
          <w:sz w:val="22"/>
          <w:szCs w:val="22"/>
        </w:rPr>
        <w:t xml:space="preserve"> District, Batu City with superior apple products. According to the vegetation analysis, using the NDVI method, it is known that </w:t>
      </w:r>
      <w:proofErr w:type="spellStart"/>
      <w:r w:rsidRPr="009333E6">
        <w:rPr>
          <w:sz w:val="22"/>
          <w:szCs w:val="22"/>
        </w:rPr>
        <w:t>Sumbergondo</w:t>
      </w:r>
      <w:proofErr w:type="spellEnd"/>
      <w:r w:rsidRPr="009333E6">
        <w:rPr>
          <w:sz w:val="22"/>
          <w:szCs w:val="22"/>
        </w:rPr>
        <w:t xml:space="preserve"> Village has the following plantation areas:</w:t>
      </w:r>
    </w:p>
    <w:p w14:paraId="61C6A971" w14:textId="77777777" w:rsidR="001F3100" w:rsidRPr="009333E6" w:rsidRDefault="001F3100" w:rsidP="00D314F9">
      <w:pPr>
        <w:jc w:val="both"/>
        <w:rPr>
          <w:sz w:val="22"/>
          <w:szCs w:val="22"/>
        </w:rPr>
      </w:pPr>
    </w:p>
    <w:p w14:paraId="64739BEF" w14:textId="301DC57B" w:rsidR="00D314F9" w:rsidRPr="009333E6" w:rsidRDefault="00DB1BCF" w:rsidP="00D314F9">
      <w:pPr>
        <w:pStyle w:val="Caption"/>
        <w:spacing w:after="0"/>
        <w:jc w:val="both"/>
        <w:rPr>
          <w:rFonts w:ascii="Times New Roman" w:hAnsi="Times New Roman" w:cs="Times New Roman"/>
          <w:i w:val="0"/>
          <w:iCs w:val="0"/>
          <w:color w:val="auto"/>
          <w:sz w:val="22"/>
          <w:szCs w:val="22"/>
        </w:rPr>
      </w:pPr>
      <w:r w:rsidRPr="009333E6">
        <w:rPr>
          <w:rFonts w:ascii="Times New Roman" w:hAnsi="Times New Roman" w:cs="Times New Roman"/>
          <w:b/>
          <w:bCs/>
          <w:i w:val="0"/>
          <w:iCs w:val="0"/>
          <w:color w:val="auto"/>
          <w:sz w:val="22"/>
          <w:szCs w:val="22"/>
        </w:rPr>
        <w:t>Table</w:t>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b/>
          <w:bCs/>
          <w:i w:val="0"/>
          <w:iCs w:val="0"/>
          <w:color w:val="auto"/>
          <w:sz w:val="22"/>
          <w:szCs w:val="22"/>
        </w:rPr>
        <w:fldChar w:fldCharType="begin"/>
      </w:r>
      <w:r w:rsidR="00D314F9" w:rsidRPr="009333E6">
        <w:rPr>
          <w:rFonts w:ascii="Times New Roman" w:hAnsi="Times New Roman" w:cs="Times New Roman"/>
          <w:b/>
          <w:bCs/>
          <w:i w:val="0"/>
          <w:iCs w:val="0"/>
          <w:color w:val="auto"/>
          <w:sz w:val="22"/>
          <w:szCs w:val="22"/>
        </w:rPr>
        <w:instrText xml:space="preserve"> SEQ Tabel \* ARABIC </w:instrText>
      </w:r>
      <w:r w:rsidR="00D314F9" w:rsidRPr="009333E6">
        <w:rPr>
          <w:rFonts w:ascii="Times New Roman" w:hAnsi="Times New Roman" w:cs="Times New Roman"/>
          <w:b/>
          <w:bCs/>
          <w:i w:val="0"/>
          <w:iCs w:val="0"/>
          <w:color w:val="auto"/>
          <w:sz w:val="22"/>
          <w:szCs w:val="22"/>
        </w:rPr>
        <w:fldChar w:fldCharType="separate"/>
      </w:r>
      <w:r w:rsidR="00FE0125">
        <w:rPr>
          <w:rFonts w:ascii="Times New Roman" w:hAnsi="Times New Roman" w:cs="Times New Roman"/>
          <w:b/>
          <w:bCs/>
          <w:i w:val="0"/>
          <w:iCs w:val="0"/>
          <w:noProof/>
          <w:color w:val="auto"/>
          <w:sz w:val="22"/>
          <w:szCs w:val="22"/>
        </w:rPr>
        <w:t>4</w:t>
      </w:r>
      <w:r w:rsidR="00D314F9" w:rsidRPr="009333E6">
        <w:rPr>
          <w:rFonts w:ascii="Times New Roman" w:hAnsi="Times New Roman" w:cs="Times New Roman"/>
          <w:b/>
          <w:bCs/>
          <w:i w:val="0"/>
          <w:iCs w:val="0"/>
          <w:color w:val="auto"/>
          <w:sz w:val="22"/>
          <w:szCs w:val="22"/>
        </w:rPr>
        <w:fldChar w:fldCharType="end"/>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i w:val="0"/>
          <w:iCs w:val="0"/>
          <w:color w:val="auto"/>
          <w:sz w:val="22"/>
          <w:szCs w:val="22"/>
        </w:rPr>
        <w:t xml:space="preserve">Normalized Difference Vegetation Index (NDVI) di </w:t>
      </w:r>
      <w:proofErr w:type="spellStart"/>
      <w:r w:rsidR="00D314F9" w:rsidRPr="009333E6">
        <w:rPr>
          <w:rFonts w:ascii="Times New Roman" w:hAnsi="Times New Roman" w:cs="Times New Roman"/>
          <w:i w:val="0"/>
          <w:iCs w:val="0"/>
          <w:color w:val="auto"/>
          <w:sz w:val="22"/>
          <w:szCs w:val="22"/>
        </w:rPr>
        <w:t>Desa</w:t>
      </w:r>
      <w:proofErr w:type="spellEnd"/>
      <w:r w:rsidR="00D314F9" w:rsidRPr="009333E6">
        <w:rPr>
          <w:rFonts w:ascii="Times New Roman" w:hAnsi="Times New Roman" w:cs="Times New Roman"/>
          <w:i w:val="0"/>
          <w:iCs w:val="0"/>
          <w:color w:val="auto"/>
          <w:sz w:val="22"/>
          <w:szCs w:val="22"/>
        </w:rPr>
        <w:t xml:space="preserve"> </w:t>
      </w:r>
      <w:proofErr w:type="spellStart"/>
      <w:r w:rsidR="00D314F9" w:rsidRPr="009333E6">
        <w:rPr>
          <w:rFonts w:ascii="Times New Roman" w:hAnsi="Times New Roman" w:cs="Times New Roman"/>
          <w:i w:val="0"/>
          <w:iCs w:val="0"/>
          <w:color w:val="auto"/>
          <w:sz w:val="22"/>
          <w:szCs w:val="22"/>
        </w:rPr>
        <w:t>Sumbergondo</w:t>
      </w:r>
      <w:proofErr w:type="spellEnd"/>
      <w:r w:rsidR="00D314F9" w:rsidRPr="009333E6">
        <w:rPr>
          <w:rFonts w:ascii="Times New Roman" w:hAnsi="Times New Roman" w:cs="Times New Roman"/>
          <w:i w:val="0"/>
          <w:iCs w:val="0"/>
          <w:color w:val="auto"/>
          <w:sz w:val="22"/>
          <w:szCs w:val="22"/>
        </w:rPr>
        <w:t xml:space="preserve">, </w:t>
      </w:r>
      <w:proofErr w:type="spellStart"/>
      <w:r w:rsidR="00D314F9" w:rsidRPr="009333E6">
        <w:rPr>
          <w:rFonts w:ascii="Times New Roman" w:hAnsi="Times New Roman" w:cs="Times New Roman"/>
          <w:i w:val="0"/>
          <w:iCs w:val="0"/>
          <w:color w:val="auto"/>
          <w:sz w:val="22"/>
          <w:szCs w:val="22"/>
        </w:rPr>
        <w:t>Bumiaji</w:t>
      </w:r>
      <w:proofErr w:type="spellEnd"/>
      <w:r w:rsidR="00D314F9" w:rsidRPr="009333E6">
        <w:rPr>
          <w:rFonts w:ascii="Times New Roman" w:hAnsi="Times New Roman" w:cs="Times New Roman"/>
          <w:i w:val="0"/>
          <w:iCs w:val="0"/>
          <w:color w:val="auto"/>
          <w:sz w:val="22"/>
          <w:szCs w:val="22"/>
        </w:rPr>
        <w:t>, Kota Batu</w:t>
      </w:r>
    </w:p>
    <w:tbl>
      <w:tblPr>
        <w:tblW w:w="5016" w:type="pct"/>
        <w:tblBorders>
          <w:top w:val="single" w:sz="4" w:space="0" w:color="auto"/>
          <w:bottom w:val="single" w:sz="4" w:space="0" w:color="auto"/>
          <w:insideH w:val="single" w:sz="4" w:space="0" w:color="auto"/>
        </w:tblBorders>
        <w:tblLook w:val="04A0" w:firstRow="1" w:lastRow="0" w:firstColumn="1" w:lastColumn="0" w:noHBand="0" w:noVBand="1"/>
      </w:tblPr>
      <w:tblGrid>
        <w:gridCol w:w="3629"/>
        <w:gridCol w:w="1866"/>
        <w:gridCol w:w="1615"/>
      </w:tblGrid>
      <w:tr w:rsidR="009333E6" w:rsidRPr="009333E6" w14:paraId="600152D5" w14:textId="77777777" w:rsidTr="00D314F9">
        <w:trPr>
          <w:trHeight w:val="254"/>
        </w:trPr>
        <w:tc>
          <w:tcPr>
            <w:tcW w:w="2552" w:type="pct"/>
            <w:shd w:val="clear" w:color="auto" w:fill="AEAAAA" w:themeFill="background2" w:themeFillShade="BF"/>
            <w:noWrap/>
            <w:vAlign w:val="bottom"/>
            <w:hideMark/>
          </w:tcPr>
          <w:p w14:paraId="42320221" w14:textId="6E6A44D6" w:rsidR="00D314F9" w:rsidRPr="009333E6" w:rsidRDefault="00DB1BCF" w:rsidP="002305DD">
            <w:pPr>
              <w:rPr>
                <w:b/>
                <w:bCs/>
                <w:sz w:val="22"/>
                <w:szCs w:val="22"/>
                <w:lang w:eastAsia="zh-CN"/>
              </w:rPr>
            </w:pPr>
            <w:r w:rsidRPr="009333E6">
              <w:rPr>
                <w:b/>
                <w:bCs/>
                <w:sz w:val="22"/>
                <w:szCs w:val="22"/>
                <w:lang w:val="id-ID" w:eastAsia="zh-CN"/>
              </w:rPr>
              <w:t>Vegetation Index</w:t>
            </w:r>
            <w:r w:rsidR="00D314F9" w:rsidRPr="009333E6">
              <w:rPr>
                <w:b/>
                <w:bCs/>
                <w:sz w:val="22"/>
                <w:szCs w:val="22"/>
                <w:lang w:eastAsia="zh-CN"/>
              </w:rPr>
              <w:t xml:space="preserve"> </w:t>
            </w:r>
          </w:p>
        </w:tc>
        <w:tc>
          <w:tcPr>
            <w:tcW w:w="1312" w:type="pct"/>
            <w:shd w:val="clear" w:color="auto" w:fill="AEAAAA" w:themeFill="background2" w:themeFillShade="BF"/>
            <w:noWrap/>
            <w:vAlign w:val="bottom"/>
            <w:hideMark/>
          </w:tcPr>
          <w:p w14:paraId="138891D2" w14:textId="2BD87C51" w:rsidR="00D314F9" w:rsidRPr="009333E6" w:rsidRDefault="00DB1BCF" w:rsidP="002305DD">
            <w:pPr>
              <w:rPr>
                <w:b/>
                <w:bCs/>
                <w:sz w:val="22"/>
                <w:szCs w:val="22"/>
                <w:lang w:eastAsia="zh-CN"/>
              </w:rPr>
            </w:pPr>
            <w:r w:rsidRPr="009333E6">
              <w:rPr>
                <w:b/>
                <w:bCs/>
                <w:sz w:val="22"/>
                <w:szCs w:val="22"/>
                <w:lang w:val="id-ID" w:eastAsia="zh-CN"/>
              </w:rPr>
              <w:t>Coverage</w:t>
            </w:r>
            <w:r w:rsidR="00D314F9" w:rsidRPr="009333E6">
              <w:rPr>
                <w:b/>
                <w:bCs/>
                <w:sz w:val="22"/>
                <w:szCs w:val="22"/>
                <w:lang w:eastAsia="zh-CN"/>
              </w:rPr>
              <w:t xml:space="preserve"> (Ha) </w:t>
            </w:r>
          </w:p>
        </w:tc>
        <w:tc>
          <w:tcPr>
            <w:tcW w:w="1136" w:type="pct"/>
            <w:shd w:val="clear" w:color="auto" w:fill="AEAAAA" w:themeFill="background2" w:themeFillShade="BF"/>
            <w:noWrap/>
            <w:vAlign w:val="bottom"/>
            <w:hideMark/>
          </w:tcPr>
          <w:p w14:paraId="794ED2FE" w14:textId="39452520" w:rsidR="00D314F9" w:rsidRPr="009333E6" w:rsidRDefault="00D314F9" w:rsidP="002305DD">
            <w:pPr>
              <w:rPr>
                <w:b/>
                <w:bCs/>
                <w:sz w:val="22"/>
                <w:szCs w:val="22"/>
                <w:lang w:eastAsia="zh-CN"/>
              </w:rPr>
            </w:pPr>
            <w:r w:rsidRPr="009333E6">
              <w:rPr>
                <w:b/>
                <w:bCs/>
                <w:sz w:val="22"/>
                <w:szCs w:val="22"/>
                <w:lang w:eastAsia="zh-CN"/>
              </w:rPr>
              <w:t>Pe</w:t>
            </w:r>
            <w:r w:rsidR="00DB1BCF" w:rsidRPr="009333E6">
              <w:rPr>
                <w:b/>
                <w:bCs/>
                <w:sz w:val="22"/>
                <w:szCs w:val="22"/>
                <w:lang w:val="id-ID" w:eastAsia="zh-CN"/>
              </w:rPr>
              <w:t>rcentage</w:t>
            </w:r>
            <w:r w:rsidRPr="009333E6">
              <w:rPr>
                <w:b/>
                <w:bCs/>
                <w:sz w:val="22"/>
                <w:szCs w:val="22"/>
                <w:lang w:eastAsia="zh-CN"/>
              </w:rPr>
              <w:t xml:space="preserve"> </w:t>
            </w:r>
          </w:p>
        </w:tc>
      </w:tr>
      <w:tr w:rsidR="009333E6" w:rsidRPr="009333E6" w14:paraId="684CC2DD" w14:textId="77777777" w:rsidTr="00D314F9">
        <w:trPr>
          <w:trHeight w:val="254"/>
        </w:trPr>
        <w:tc>
          <w:tcPr>
            <w:tcW w:w="2552" w:type="pct"/>
            <w:shd w:val="clear" w:color="auto" w:fill="auto"/>
            <w:noWrap/>
            <w:vAlign w:val="bottom"/>
            <w:hideMark/>
          </w:tcPr>
          <w:p w14:paraId="2DD39942" w14:textId="7EDEB402" w:rsidR="00D314F9" w:rsidRPr="009333E6" w:rsidRDefault="00DB1BCF" w:rsidP="002305DD">
            <w:pPr>
              <w:rPr>
                <w:sz w:val="22"/>
                <w:szCs w:val="22"/>
                <w:lang w:val="id-ID" w:eastAsia="zh-CN"/>
              </w:rPr>
            </w:pPr>
            <w:r w:rsidRPr="009333E6">
              <w:rPr>
                <w:sz w:val="22"/>
                <w:szCs w:val="22"/>
                <w:lang w:val="id-ID" w:eastAsia="zh-CN"/>
              </w:rPr>
              <w:t>High Vegetation</w:t>
            </w:r>
          </w:p>
        </w:tc>
        <w:tc>
          <w:tcPr>
            <w:tcW w:w="1312" w:type="pct"/>
            <w:shd w:val="clear" w:color="auto" w:fill="auto"/>
            <w:noWrap/>
            <w:vAlign w:val="bottom"/>
            <w:hideMark/>
          </w:tcPr>
          <w:p w14:paraId="29AB57B0" w14:textId="77777777" w:rsidR="00D314F9" w:rsidRPr="009333E6" w:rsidRDefault="00D314F9" w:rsidP="002305DD">
            <w:pPr>
              <w:jc w:val="right"/>
              <w:rPr>
                <w:sz w:val="22"/>
                <w:szCs w:val="22"/>
                <w:lang w:eastAsia="zh-CN"/>
              </w:rPr>
            </w:pPr>
            <w:r w:rsidRPr="009333E6">
              <w:rPr>
                <w:sz w:val="22"/>
                <w:szCs w:val="22"/>
              </w:rPr>
              <w:t>115.27</w:t>
            </w:r>
          </w:p>
        </w:tc>
        <w:tc>
          <w:tcPr>
            <w:tcW w:w="1136" w:type="pct"/>
            <w:shd w:val="clear" w:color="auto" w:fill="auto"/>
            <w:noWrap/>
            <w:vAlign w:val="bottom"/>
            <w:hideMark/>
          </w:tcPr>
          <w:p w14:paraId="2D4FC531" w14:textId="77777777" w:rsidR="00D314F9" w:rsidRPr="009333E6" w:rsidRDefault="00D314F9" w:rsidP="002305DD">
            <w:pPr>
              <w:jc w:val="right"/>
              <w:rPr>
                <w:sz w:val="22"/>
                <w:szCs w:val="22"/>
                <w:lang w:eastAsia="zh-CN"/>
              </w:rPr>
            </w:pPr>
            <w:r w:rsidRPr="009333E6">
              <w:rPr>
                <w:sz w:val="22"/>
                <w:szCs w:val="22"/>
                <w:lang w:eastAsia="zh-CN"/>
              </w:rPr>
              <w:t>2.18%</w:t>
            </w:r>
          </w:p>
        </w:tc>
      </w:tr>
      <w:tr w:rsidR="009333E6" w:rsidRPr="009333E6" w14:paraId="43B1B8B2" w14:textId="77777777" w:rsidTr="00D314F9">
        <w:trPr>
          <w:trHeight w:val="254"/>
        </w:trPr>
        <w:tc>
          <w:tcPr>
            <w:tcW w:w="2552" w:type="pct"/>
            <w:shd w:val="clear" w:color="auto" w:fill="auto"/>
            <w:noWrap/>
            <w:vAlign w:val="bottom"/>
            <w:hideMark/>
          </w:tcPr>
          <w:p w14:paraId="63DC7EDC" w14:textId="1193DE3D" w:rsidR="00D314F9" w:rsidRPr="009333E6" w:rsidRDefault="00DB1BCF" w:rsidP="002305DD">
            <w:pPr>
              <w:rPr>
                <w:sz w:val="22"/>
                <w:szCs w:val="22"/>
                <w:lang w:val="id-ID" w:eastAsia="zh-CN"/>
              </w:rPr>
            </w:pPr>
            <w:r w:rsidRPr="009333E6">
              <w:rPr>
                <w:sz w:val="22"/>
                <w:szCs w:val="22"/>
                <w:lang w:val="id-ID" w:eastAsia="zh-CN"/>
              </w:rPr>
              <w:t>Medium Vegetation</w:t>
            </w:r>
          </w:p>
        </w:tc>
        <w:tc>
          <w:tcPr>
            <w:tcW w:w="1312" w:type="pct"/>
            <w:shd w:val="clear" w:color="auto" w:fill="auto"/>
            <w:noWrap/>
            <w:vAlign w:val="bottom"/>
            <w:hideMark/>
          </w:tcPr>
          <w:p w14:paraId="1CFBB150" w14:textId="77777777" w:rsidR="00D314F9" w:rsidRPr="009333E6" w:rsidRDefault="00D314F9" w:rsidP="002305DD">
            <w:pPr>
              <w:jc w:val="right"/>
              <w:rPr>
                <w:sz w:val="22"/>
                <w:szCs w:val="22"/>
                <w:lang w:eastAsia="zh-CN"/>
              </w:rPr>
            </w:pPr>
            <w:r w:rsidRPr="009333E6">
              <w:rPr>
                <w:sz w:val="22"/>
                <w:szCs w:val="22"/>
              </w:rPr>
              <w:t>3972.54</w:t>
            </w:r>
          </w:p>
        </w:tc>
        <w:tc>
          <w:tcPr>
            <w:tcW w:w="1136" w:type="pct"/>
            <w:shd w:val="clear" w:color="auto" w:fill="auto"/>
            <w:noWrap/>
            <w:vAlign w:val="bottom"/>
            <w:hideMark/>
          </w:tcPr>
          <w:p w14:paraId="7ECE1968" w14:textId="77777777" w:rsidR="00D314F9" w:rsidRPr="009333E6" w:rsidRDefault="00D314F9" w:rsidP="002305DD">
            <w:pPr>
              <w:jc w:val="right"/>
              <w:rPr>
                <w:sz w:val="22"/>
                <w:szCs w:val="22"/>
                <w:lang w:eastAsia="zh-CN"/>
              </w:rPr>
            </w:pPr>
            <w:r w:rsidRPr="009333E6">
              <w:rPr>
                <w:sz w:val="22"/>
                <w:szCs w:val="22"/>
                <w:lang w:eastAsia="zh-CN"/>
              </w:rPr>
              <w:t>74.98%</w:t>
            </w:r>
          </w:p>
        </w:tc>
      </w:tr>
      <w:tr w:rsidR="009333E6" w:rsidRPr="009333E6" w14:paraId="213EDF71" w14:textId="77777777" w:rsidTr="00D314F9">
        <w:trPr>
          <w:trHeight w:val="254"/>
        </w:trPr>
        <w:tc>
          <w:tcPr>
            <w:tcW w:w="2552" w:type="pct"/>
            <w:shd w:val="clear" w:color="auto" w:fill="auto"/>
            <w:noWrap/>
            <w:vAlign w:val="bottom"/>
            <w:hideMark/>
          </w:tcPr>
          <w:p w14:paraId="14075FB4" w14:textId="03F555DA" w:rsidR="00D314F9" w:rsidRPr="009333E6" w:rsidRDefault="00DB1BCF" w:rsidP="002305DD">
            <w:pPr>
              <w:rPr>
                <w:sz w:val="22"/>
                <w:szCs w:val="22"/>
                <w:lang w:val="id-ID" w:eastAsia="zh-CN"/>
              </w:rPr>
            </w:pPr>
            <w:r w:rsidRPr="009333E6">
              <w:rPr>
                <w:sz w:val="22"/>
                <w:szCs w:val="22"/>
                <w:lang w:val="id-ID" w:eastAsia="zh-CN"/>
              </w:rPr>
              <w:t>Very Low Vegetation</w:t>
            </w:r>
          </w:p>
        </w:tc>
        <w:tc>
          <w:tcPr>
            <w:tcW w:w="1312" w:type="pct"/>
            <w:shd w:val="clear" w:color="auto" w:fill="auto"/>
            <w:noWrap/>
            <w:vAlign w:val="bottom"/>
            <w:hideMark/>
          </w:tcPr>
          <w:p w14:paraId="79EF4A76" w14:textId="77777777" w:rsidR="00D314F9" w:rsidRPr="009333E6" w:rsidRDefault="00D314F9" w:rsidP="002305DD">
            <w:pPr>
              <w:jc w:val="right"/>
              <w:rPr>
                <w:sz w:val="22"/>
                <w:szCs w:val="22"/>
                <w:lang w:val="id-ID" w:eastAsia="zh-CN"/>
              </w:rPr>
            </w:pPr>
            <w:r w:rsidRPr="009333E6">
              <w:rPr>
                <w:sz w:val="22"/>
                <w:szCs w:val="22"/>
              </w:rPr>
              <w:t>450.93</w:t>
            </w:r>
          </w:p>
        </w:tc>
        <w:tc>
          <w:tcPr>
            <w:tcW w:w="1136" w:type="pct"/>
            <w:shd w:val="clear" w:color="auto" w:fill="auto"/>
            <w:noWrap/>
            <w:vAlign w:val="bottom"/>
            <w:hideMark/>
          </w:tcPr>
          <w:p w14:paraId="6C089B68" w14:textId="77777777" w:rsidR="00D314F9" w:rsidRPr="009333E6" w:rsidRDefault="00D314F9" w:rsidP="002305DD">
            <w:pPr>
              <w:jc w:val="right"/>
              <w:rPr>
                <w:sz w:val="22"/>
                <w:szCs w:val="22"/>
                <w:lang w:eastAsia="zh-CN"/>
              </w:rPr>
            </w:pPr>
            <w:r w:rsidRPr="009333E6">
              <w:rPr>
                <w:sz w:val="22"/>
                <w:szCs w:val="22"/>
                <w:lang w:eastAsia="zh-CN"/>
              </w:rPr>
              <w:t>8.51%</w:t>
            </w:r>
          </w:p>
        </w:tc>
      </w:tr>
      <w:tr w:rsidR="009333E6" w:rsidRPr="009333E6" w14:paraId="691CB354" w14:textId="77777777" w:rsidTr="00D314F9">
        <w:trPr>
          <w:trHeight w:val="254"/>
        </w:trPr>
        <w:tc>
          <w:tcPr>
            <w:tcW w:w="2552" w:type="pct"/>
            <w:shd w:val="clear" w:color="auto" w:fill="auto"/>
            <w:noWrap/>
            <w:vAlign w:val="bottom"/>
            <w:hideMark/>
          </w:tcPr>
          <w:p w14:paraId="040EB2DE" w14:textId="0054BAD8" w:rsidR="00D314F9" w:rsidRPr="009333E6" w:rsidRDefault="00DB1BCF" w:rsidP="002305DD">
            <w:pPr>
              <w:rPr>
                <w:sz w:val="22"/>
                <w:szCs w:val="22"/>
                <w:lang w:val="id-ID" w:eastAsia="zh-CN"/>
              </w:rPr>
            </w:pPr>
            <w:r w:rsidRPr="009333E6">
              <w:rPr>
                <w:sz w:val="22"/>
                <w:szCs w:val="22"/>
                <w:lang w:val="id-ID" w:eastAsia="zh-CN"/>
              </w:rPr>
              <w:t>Low Vegetation</w:t>
            </w:r>
          </w:p>
        </w:tc>
        <w:tc>
          <w:tcPr>
            <w:tcW w:w="1312" w:type="pct"/>
            <w:shd w:val="clear" w:color="auto" w:fill="auto"/>
            <w:noWrap/>
            <w:vAlign w:val="bottom"/>
            <w:hideMark/>
          </w:tcPr>
          <w:p w14:paraId="42F0A6B2" w14:textId="77777777" w:rsidR="00D314F9" w:rsidRPr="009333E6" w:rsidRDefault="00D314F9" w:rsidP="002305DD">
            <w:pPr>
              <w:jc w:val="right"/>
              <w:rPr>
                <w:sz w:val="22"/>
                <w:szCs w:val="22"/>
                <w:lang w:eastAsia="zh-CN"/>
              </w:rPr>
            </w:pPr>
            <w:r w:rsidRPr="009333E6">
              <w:rPr>
                <w:sz w:val="22"/>
                <w:szCs w:val="22"/>
              </w:rPr>
              <w:t>748.27</w:t>
            </w:r>
          </w:p>
        </w:tc>
        <w:tc>
          <w:tcPr>
            <w:tcW w:w="1136" w:type="pct"/>
            <w:shd w:val="clear" w:color="auto" w:fill="auto"/>
            <w:noWrap/>
            <w:vAlign w:val="bottom"/>
            <w:hideMark/>
          </w:tcPr>
          <w:p w14:paraId="2537CF69" w14:textId="77777777" w:rsidR="00D314F9" w:rsidRPr="009333E6" w:rsidRDefault="00D314F9" w:rsidP="002305DD">
            <w:pPr>
              <w:jc w:val="right"/>
              <w:rPr>
                <w:sz w:val="22"/>
                <w:szCs w:val="22"/>
                <w:lang w:eastAsia="zh-CN"/>
              </w:rPr>
            </w:pPr>
            <w:r w:rsidRPr="009333E6">
              <w:rPr>
                <w:sz w:val="22"/>
                <w:szCs w:val="22"/>
                <w:lang w:eastAsia="zh-CN"/>
              </w:rPr>
              <w:t>14.12%</w:t>
            </w:r>
          </w:p>
        </w:tc>
      </w:tr>
      <w:tr w:rsidR="009333E6" w:rsidRPr="009333E6" w14:paraId="479EA6CB" w14:textId="77777777" w:rsidTr="00D314F9">
        <w:trPr>
          <w:trHeight w:val="254"/>
        </w:trPr>
        <w:tc>
          <w:tcPr>
            <w:tcW w:w="2552" w:type="pct"/>
            <w:shd w:val="clear" w:color="auto" w:fill="auto"/>
            <w:noWrap/>
            <w:vAlign w:val="bottom"/>
            <w:hideMark/>
          </w:tcPr>
          <w:p w14:paraId="0D188299" w14:textId="77777777" w:rsidR="00D314F9" w:rsidRPr="009333E6" w:rsidRDefault="00D314F9" w:rsidP="002305DD">
            <w:pPr>
              <w:rPr>
                <w:sz w:val="22"/>
                <w:szCs w:val="22"/>
                <w:lang w:eastAsia="zh-CN"/>
              </w:rPr>
            </w:pPr>
            <w:r w:rsidRPr="009333E6">
              <w:rPr>
                <w:sz w:val="22"/>
                <w:szCs w:val="22"/>
                <w:lang w:eastAsia="zh-CN"/>
              </w:rPr>
              <w:t xml:space="preserve">Non </w:t>
            </w:r>
            <w:proofErr w:type="spellStart"/>
            <w:r w:rsidRPr="009333E6">
              <w:rPr>
                <w:sz w:val="22"/>
                <w:szCs w:val="22"/>
                <w:lang w:eastAsia="zh-CN"/>
              </w:rPr>
              <w:t>Vegetasi</w:t>
            </w:r>
            <w:proofErr w:type="spellEnd"/>
          </w:p>
        </w:tc>
        <w:tc>
          <w:tcPr>
            <w:tcW w:w="1312" w:type="pct"/>
            <w:shd w:val="clear" w:color="auto" w:fill="auto"/>
            <w:noWrap/>
            <w:vAlign w:val="bottom"/>
            <w:hideMark/>
          </w:tcPr>
          <w:p w14:paraId="0056DC56" w14:textId="77777777" w:rsidR="00D314F9" w:rsidRPr="009333E6" w:rsidRDefault="00D314F9" w:rsidP="002305DD">
            <w:pPr>
              <w:jc w:val="right"/>
              <w:rPr>
                <w:sz w:val="22"/>
                <w:szCs w:val="22"/>
                <w:lang w:eastAsia="zh-CN"/>
              </w:rPr>
            </w:pPr>
            <w:r w:rsidRPr="009333E6">
              <w:rPr>
                <w:sz w:val="22"/>
                <w:szCs w:val="22"/>
              </w:rPr>
              <w:t>10.95</w:t>
            </w:r>
          </w:p>
        </w:tc>
        <w:tc>
          <w:tcPr>
            <w:tcW w:w="1136" w:type="pct"/>
            <w:shd w:val="clear" w:color="auto" w:fill="auto"/>
            <w:noWrap/>
            <w:vAlign w:val="bottom"/>
            <w:hideMark/>
          </w:tcPr>
          <w:p w14:paraId="1F4F7DED" w14:textId="77777777" w:rsidR="00D314F9" w:rsidRPr="009333E6" w:rsidRDefault="00D314F9" w:rsidP="002305DD">
            <w:pPr>
              <w:jc w:val="right"/>
              <w:rPr>
                <w:sz w:val="22"/>
                <w:szCs w:val="22"/>
                <w:lang w:eastAsia="zh-CN"/>
              </w:rPr>
            </w:pPr>
            <w:r w:rsidRPr="009333E6">
              <w:rPr>
                <w:sz w:val="22"/>
                <w:szCs w:val="22"/>
                <w:lang w:eastAsia="zh-CN"/>
              </w:rPr>
              <w:t>0.21%</w:t>
            </w:r>
          </w:p>
        </w:tc>
      </w:tr>
    </w:tbl>
    <w:p w14:paraId="2C719CBA" w14:textId="7D4420FE" w:rsidR="00D314F9" w:rsidRPr="009333E6" w:rsidRDefault="00DB1BCF" w:rsidP="00D314F9">
      <w:pPr>
        <w:ind w:left="66"/>
        <w:jc w:val="both"/>
        <w:rPr>
          <w:sz w:val="22"/>
          <w:szCs w:val="22"/>
        </w:rPr>
      </w:pPr>
      <w:r w:rsidRPr="009333E6">
        <w:rPr>
          <w:sz w:val="22"/>
          <w:szCs w:val="22"/>
          <w:lang w:val="id-ID"/>
        </w:rPr>
        <w:t>Source</w:t>
      </w:r>
      <w:r w:rsidR="00D314F9" w:rsidRPr="009333E6">
        <w:rPr>
          <w:sz w:val="22"/>
          <w:szCs w:val="22"/>
        </w:rPr>
        <w:t xml:space="preserve">: </w:t>
      </w:r>
      <w:r w:rsidRPr="009333E6">
        <w:rPr>
          <w:sz w:val="22"/>
          <w:szCs w:val="22"/>
          <w:lang w:val="id-ID"/>
        </w:rPr>
        <w:t>Analytical Result</w:t>
      </w:r>
      <w:r w:rsidR="00D314F9" w:rsidRPr="009333E6">
        <w:rPr>
          <w:sz w:val="22"/>
          <w:szCs w:val="22"/>
        </w:rPr>
        <w:t>, 2022</w:t>
      </w:r>
    </w:p>
    <w:p w14:paraId="1D966364" w14:textId="77777777" w:rsidR="00D314F9" w:rsidRPr="009333E6" w:rsidRDefault="00D314F9" w:rsidP="00D314F9">
      <w:pPr>
        <w:ind w:left="66"/>
        <w:jc w:val="both"/>
        <w:rPr>
          <w:sz w:val="22"/>
          <w:szCs w:val="22"/>
        </w:rPr>
      </w:pPr>
    </w:p>
    <w:p w14:paraId="2D6FA24F" w14:textId="676C72D1" w:rsidR="00D314F9" w:rsidRPr="009333E6" w:rsidRDefault="00D314F9" w:rsidP="00D314F9">
      <w:pPr>
        <w:jc w:val="both"/>
        <w:rPr>
          <w:sz w:val="22"/>
          <w:szCs w:val="22"/>
        </w:rPr>
      </w:pPr>
      <w:r w:rsidRPr="009333E6">
        <w:rPr>
          <w:sz w:val="22"/>
          <w:szCs w:val="22"/>
        </w:rPr>
        <w:t xml:space="preserve">TVDI </w:t>
      </w:r>
      <w:r w:rsidR="00DB1BCF" w:rsidRPr="009333E6">
        <w:rPr>
          <w:sz w:val="22"/>
          <w:szCs w:val="22"/>
          <w:lang w:val="id-ID"/>
        </w:rPr>
        <w:t xml:space="preserve">as an indicator of drought </w:t>
      </w:r>
      <w:r w:rsidR="00DF5360" w:rsidRPr="009333E6">
        <w:rPr>
          <w:sz w:val="22"/>
          <w:szCs w:val="22"/>
          <w:lang w:val="id-ID"/>
        </w:rPr>
        <w:t xml:space="preserve">level measurement in a certain study area, in the context of The Role of Agrotourism on Environment Sustainibility study, it </w:t>
      </w:r>
      <w:proofErr w:type="gramStart"/>
      <w:r w:rsidR="00DF5360" w:rsidRPr="009333E6">
        <w:rPr>
          <w:sz w:val="22"/>
          <w:szCs w:val="22"/>
          <w:lang w:val="id-ID"/>
        </w:rPr>
        <w:t>function</w:t>
      </w:r>
      <w:proofErr w:type="gramEnd"/>
      <w:r w:rsidR="00DF5360" w:rsidRPr="009333E6">
        <w:rPr>
          <w:sz w:val="22"/>
          <w:szCs w:val="22"/>
          <w:lang w:val="id-ID"/>
        </w:rPr>
        <w:t xml:space="preserve"> as a fundamental on measuring the Tourism Attraction in Sumbergondo Village with apple product as its superior based product reviewed from the drought level.</w:t>
      </w:r>
    </w:p>
    <w:p w14:paraId="7206AD3B" w14:textId="77777777" w:rsidR="00E30449" w:rsidRPr="009333E6" w:rsidRDefault="00E30449" w:rsidP="00D314F9">
      <w:pPr>
        <w:jc w:val="both"/>
        <w:rPr>
          <w:sz w:val="22"/>
          <w:szCs w:val="22"/>
        </w:rPr>
      </w:pPr>
    </w:p>
    <w:p w14:paraId="2EB28645" w14:textId="72599233" w:rsidR="00D314F9" w:rsidRPr="009333E6" w:rsidRDefault="00DB1BCF" w:rsidP="00D314F9">
      <w:pPr>
        <w:pStyle w:val="Caption"/>
        <w:spacing w:after="0"/>
        <w:jc w:val="both"/>
        <w:rPr>
          <w:rFonts w:ascii="Times New Roman" w:hAnsi="Times New Roman" w:cs="Times New Roman"/>
          <w:i w:val="0"/>
          <w:iCs w:val="0"/>
          <w:color w:val="auto"/>
          <w:sz w:val="22"/>
          <w:szCs w:val="22"/>
        </w:rPr>
      </w:pPr>
      <w:r w:rsidRPr="009333E6">
        <w:rPr>
          <w:rFonts w:ascii="Times New Roman" w:hAnsi="Times New Roman" w:cs="Times New Roman"/>
          <w:b/>
          <w:bCs/>
          <w:i w:val="0"/>
          <w:iCs w:val="0"/>
          <w:color w:val="auto"/>
          <w:sz w:val="22"/>
          <w:szCs w:val="22"/>
        </w:rPr>
        <w:t>Table</w:t>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b/>
          <w:bCs/>
          <w:i w:val="0"/>
          <w:iCs w:val="0"/>
          <w:color w:val="auto"/>
          <w:sz w:val="22"/>
          <w:szCs w:val="22"/>
        </w:rPr>
        <w:fldChar w:fldCharType="begin"/>
      </w:r>
      <w:r w:rsidR="00D314F9" w:rsidRPr="009333E6">
        <w:rPr>
          <w:rFonts w:ascii="Times New Roman" w:hAnsi="Times New Roman" w:cs="Times New Roman"/>
          <w:b/>
          <w:bCs/>
          <w:i w:val="0"/>
          <w:iCs w:val="0"/>
          <w:color w:val="auto"/>
          <w:sz w:val="22"/>
          <w:szCs w:val="22"/>
        </w:rPr>
        <w:instrText xml:space="preserve"> SEQ Tabel \* ARABIC </w:instrText>
      </w:r>
      <w:r w:rsidR="00D314F9" w:rsidRPr="009333E6">
        <w:rPr>
          <w:rFonts w:ascii="Times New Roman" w:hAnsi="Times New Roman" w:cs="Times New Roman"/>
          <w:b/>
          <w:bCs/>
          <w:i w:val="0"/>
          <w:iCs w:val="0"/>
          <w:color w:val="auto"/>
          <w:sz w:val="22"/>
          <w:szCs w:val="22"/>
        </w:rPr>
        <w:fldChar w:fldCharType="separate"/>
      </w:r>
      <w:r w:rsidR="00FE0125">
        <w:rPr>
          <w:rFonts w:ascii="Times New Roman" w:hAnsi="Times New Roman" w:cs="Times New Roman"/>
          <w:b/>
          <w:bCs/>
          <w:i w:val="0"/>
          <w:iCs w:val="0"/>
          <w:noProof/>
          <w:color w:val="auto"/>
          <w:sz w:val="22"/>
          <w:szCs w:val="22"/>
        </w:rPr>
        <w:t>5</w:t>
      </w:r>
      <w:r w:rsidR="00D314F9" w:rsidRPr="009333E6">
        <w:rPr>
          <w:rFonts w:ascii="Times New Roman" w:hAnsi="Times New Roman" w:cs="Times New Roman"/>
          <w:b/>
          <w:bCs/>
          <w:i w:val="0"/>
          <w:iCs w:val="0"/>
          <w:color w:val="auto"/>
          <w:sz w:val="22"/>
          <w:szCs w:val="22"/>
        </w:rPr>
        <w:fldChar w:fldCharType="end"/>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i w:val="0"/>
          <w:iCs w:val="0"/>
          <w:color w:val="auto"/>
          <w:sz w:val="22"/>
          <w:szCs w:val="22"/>
        </w:rPr>
        <w:t xml:space="preserve">Temperature Vegetation Dryness Index (TVDI) </w:t>
      </w:r>
      <w:r w:rsidR="00DF5360" w:rsidRPr="009333E6">
        <w:rPr>
          <w:rFonts w:ascii="Times New Roman" w:hAnsi="Times New Roman" w:cs="Times New Roman"/>
          <w:i w:val="0"/>
          <w:iCs w:val="0"/>
          <w:color w:val="auto"/>
          <w:sz w:val="22"/>
          <w:szCs w:val="22"/>
          <w:lang w:val="id-ID"/>
        </w:rPr>
        <w:t>in Sumbergondo Village</w:t>
      </w:r>
      <w:r w:rsidR="00D314F9" w:rsidRPr="009333E6">
        <w:rPr>
          <w:rFonts w:ascii="Times New Roman" w:hAnsi="Times New Roman" w:cs="Times New Roman"/>
          <w:i w:val="0"/>
          <w:iCs w:val="0"/>
          <w:color w:val="auto"/>
          <w:sz w:val="22"/>
          <w:szCs w:val="22"/>
        </w:rPr>
        <w:t xml:space="preserve">, </w:t>
      </w:r>
      <w:proofErr w:type="spellStart"/>
      <w:r w:rsidR="00D314F9" w:rsidRPr="009333E6">
        <w:rPr>
          <w:rFonts w:ascii="Times New Roman" w:hAnsi="Times New Roman" w:cs="Times New Roman"/>
          <w:i w:val="0"/>
          <w:iCs w:val="0"/>
          <w:color w:val="auto"/>
          <w:sz w:val="22"/>
          <w:szCs w:val="22"/>
        </w:rPr>
        <w:t>Bumiaji</w:t>
      </w:r>
      <w:proofErr w:type="spellEnd"/>
      <w:r w:rsidR="00D314F9" w:rsidRPr="009333E6">
        <w:rPr>
          <w:rFonts w:ascii="Times New Roman" w:hAnsi="Times New Roman" w:cs="Times New Roman"/>
          <w:i w:val="0"/>
          <w:iCs w:val="0"/>
          <w:color w:val="auto"/>
          <w:sz w:val="22"/>
          <w:szCs w:val="22"/>
        </w:rPr>
        <w:t>, Kota Batu</w:t>
      </w:r>
    </w:p>
    <w:tbl>
      <w:tblPr>
        <w:tblW w:w="5119" w:type="pct"/>
        <w:tblLook w:val="04A0" w:firstRow="1" w:lastRow="0" w:firstColumn="1" w:lastColumn="0" w:noHBand="0" w:noVBand="1"/>
      </w:tblPr>
      <w:tblGrid>
        <w:gridCol w:w="937"/>
        <w:gridCol w:w="2460"/>
        <w:gridCol w:w="950"/>
        <w:gridCol w:w="1591"/>
        <w:gridCol w:w="1318"/>
      </w:tblGrid>
      <w:tr w:rsidR="009333E6" w:rsidRPr="009333E6" w14:paraId="55E5E6EB" w14:textId="77777777" w:rsidTr="00D314F9">
        <w:trPr>
          <w:trHeight w:val="253"/>
          <w:tblHeader/>
        </w:trPr>
        <w:tc>
          <w:tcPr>
            <w:tcW w:w="679" w:type="pct"/>
            <w:tcBorders>
              <w:top w:val="single" w:sz="4" w:space="0" w:color="auto"/>
              <w:bottom w:val="single" w:sz="4" w:space="0" w:color="auto"/>
            </w:tcBorders>
            <w:shd w:val="clear" w:color="000000" w:fill="C0C0C0"/>
            <w:noWrap/>
            <w:vAlign w:val="bottom"/>
            <w:hideMark/>
          </w:tcPr>
          <w:p w14:paraId="11D5C92E" w14:textId="212C0882" w:rsidR="00D314F9" w:rsidRPr="009333E6" w:rsidRDefault="00DF5360" w:rsidP="002305DD">
            <w:pPr>
              <w:jc w:val="center"/>
              <w:rPr>
                <w:b/>
                <w:bCs/>
                <w:sz w:val="22"/>
                <w:szCs w:val="22"/>
                <w:lang w:val="id-ID" w:eastAsia="zh-CN"/>
              </w:rPr>
            </w:pPr>
            <w:r w:rsidRPr="009333E6">
              <w:rPr>
                <w:b/>
                <w:bCs/>
                <w:sz w:val="22"/>
                <w:szCs w:val="22"/>
                <w:lang w:val="id-ID" w:eastAsia="zh-CN"/>
              </w:rPr>
              <w:t>Class</w:t>
            </w:r>
          </w:p>
        </w:tc>
        <w:tc>
          <w:tcPr>
            <w:tcW w:w="1728" w:type="pct"/>
            <w:tcBorders>
              <w:top w:val="single" w:sz="4" w:space="0" w:color="auto"/>
              <w:bottom w:val="single" w:sz="4" w:space="0" w:color="auto"/>
            </w:tcBorders>
            <w:shd w:val="clear" w:color="000000" w:fill="C0C0C0"/>
            <w:noWrap/>
            <w:vAlign w:val="bottom"/>
            <w:hideMark/>
          </w:tcPr>
          <w:p w14:paraId="5193A175" w14:textId="06FBB1C8" w:rsidR="00D314F9" w:rsidRPr="009333E6" w:rsidRDefault="00DF5360" w:rsidP="002305DD">
            <w:pPr>
              <w:jc w:val="center"/>
              <w:rPr>
                <w:b/>
                <w:bCs/>
                <w:sz w:val="22"/>
                <w:szCs w:val="22"/>
                <w:lang w:val="id-ID" w:eastAsia="zh-CN"/>
              </w:rPr>
            </w:pPr>
            <w:r w:rsidRPr="009333E6">
              <w:rPr>
                <w:b/>
                <w:bCs/>
                <w:sz w:val="22"/>
                <w:szCs w:val="22"/>
                <w:lang w:val="id-ID" w:eastAsia="zh-CN"/>
              </w:rPr>
              <w:t>Dryness Indeks</w:t>
            </w:r>
          </w:p>
        </w:tc>
        <w:tc>
          <w:tcPr>
            <w:tcW w:w="681" w:type="pct"/>
            <w:tcBorders>
              <w:top w:val="single" w:sz="4" w:space="0" w:color="auto"/>
              <w:bottom w:val="single" w:sz="4" w:space="0" w:color="auto"/>
            </w:tcBorders>
            <w:shd w:val="clear" w:color="000000" w:fill="C0C0C0"/>
            <w:noWrap/>
            <w:vAlign w:val="bottom"/>
            <w:hideMark/>
          </w:tcPr>
          <w:p w14:paraId="27A5E4BD" w14:textId="77777777" w:rsidR="00D314F9" w:rsidRPr="009333E6" w:rsidRDefault="00D314F9" w:rsidP="002305DD">
            <w:pPr>
              <w:jc w:val="center"/>
              <w:rPr>
                <w:b/>
                <w:bCs/>
                <w:sz w:val="22"/>
                <w:szCs w:val="22"/>
                <w:lang w:eastAsia="zh-CN"/>
              </w:rPr>
            </w:pPr>
            <w:r w:rsidRPr="009333E6">
              <w:rPr>
                <w:b/>
                <w:bCs/>
                <w:sz w:val="22"/>
                <w:szCs w:val="22"/>
                <w:lang w:eastAsia="zh-CN"/>
              </w:rPr>
              <w:t>TDVI</w:t>
            </w:r>
          </w:p>
        </w:tc>
        <w:tc>
          <w:tcPr>
            <w:tcW w:w="963" w:type="pct"/>
            <w:tcBorders>
              <w:top w:val="single" w:sz="4" w:space="0" w:color="auto"/>
              <w:bottom w:val="single" w:sz="4" w:space="0" w:color="auto"/>
            </w:tcBorders>
            <w:shd w:val="clear" w:color="000000" w:fill="C0C0C0"/>
            <w:noWrap/>
            <w:vAlign w:val="center"/>
            <w:hideMark/>
          </w:tcPr>
          <w:p w14:paraId="2244FB55" w14:textId="2CDA3E76" w:rsidR="00D314F9" w:rsidRPr="009333E6" w:rsidRDefault="00DF5360" w:rsidP="002305DD">
            <w:pPr>
              <w:jc w:val="center"/>
              <w:rPr>
                <w:b/>
                <w:bCs/>
                <w:sz w:val="22"/>
                <w:szCs w:val="22"/>
                <w:lang w:eastAsia="zh-CN"/>
              </w:rPr>
            </w:pPr>
            <w:r w:rsidRPr="009333E6">
              <w:rPr>
                <w:b/>
                <w:bCs/>
                <w:sz w:val="22"/>
                <w:szCs w:val="22"/>
                <w:lang w:val="id-ID" w:eastAsia="zh-CN"/>
              </w:rPr>
              <w:t>Coverage</w:t>
            </w:r>
            <w:r w:rsidR="00D314F9" w:rsidRPr="009333E6">
              <w:rPr>
                <w:b/>
                <w:bCs/>
                <w:sz w:val="22"/>
                <w:szCs w:val="22"/>
                <w:lang w:eastAsia="zh-CN"/>
              </w:rPr>
              <w:t xml:space="preserve"> (Ha) </w:t>
            </w:r>
          </w:p>
        </w:tc>
        <w:tc>
          <w:tcPr>
            <w:tcW w:w="947" w:type="pct"/>
            <w:tcBorders>
              <w:top w:val="single" w:sz="4" w:space="0" w:color="auto"/>
              <w:bottom w:val="single" w:sz="4" w:space="0" w:color="auto"/>
            </w:tcBorders>
            <w:shd w:val="clear" w:color="000000" w:fill="C0C0C0"/>
            <w:noWrap/>
            <w:vAlign w:val="bottom"/>
            <w:hideMark/>
          </w:tcPr>
          <w:p w14:paraId="4B6AA918" w14:textId="3A981FED" w:rsidR="00D314F9" w:rsidRPr="009333E6" w:rsidRDefault="00D314F9" w:rsidP="002305DD">
            <w:pPr>
              <w:jc w:val="center"/>
              <w:rPr>
                <w:b/>
                <w:bCs/>
                <w:sz w:val="22"/>
                <w:szCs w:val="22"/>
                <w:lang w:val="id-ID" w:eastAsia="zh-CN"/>
              </w:rPr>
            </w:pPr>
            <w:r w:rsidRPr="009333E6">
              <w:rPr>
                <w:b/>
                <w:bCs/>
                <w:sz w:val="22"/>
                <w:szCs w:val="22"/>
                <w:lang w:eastAsia="zh-CN"/>
              </w:rPr>
              <w:t>Per</w:t>
            </w:r>
            <w:r w:rsidR="00DF5360" w:rsidRPr="009333E6">
              <w:rPr>
                <w:b/>
                <w:bCs/>
                <w:sz w:val="22"/>
                <w:szCs w:val="22"/>
                <w:lang w:val="id-ID" w:eastAsia="zh-CN"/>
              </w:rPr>
              <w:t>centage</w:t>
            </w:r>
          </w:p>
        </w:tc>
      </w:tr>
      <w:tr w:rsidR="009333E6" w:rsidRPr="009333E6" w14:paraId="55EAC547" w14:textId="77777777" w:rsidTr="00D314F9">
        <w:trPr>
          <w:trHeight w:val="253"/>
        </w:trPr>
        <w:tc>
          <w:tcPr>
            <w:tcW w:w="679" w:type="pct"/>
            <w:tcBorders>
              <w:top w:val="nil"/>
              <w:bottom w:val="single" w:sz="4" w:space="0" w:color="auto"/>
            </w:tcBorders>
            <w:shd w:val="clear" w:color="auto" w:fill="auto"/>
            <w:noWrap/>
            <w:vAlign w:val="bottom"/>
            <w:hideMark/>
          </w:tcPr>
          <w:p w14:paraId="6FD8A01B" w14:textId="475F6CED"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1</w:t>
            </w:r>
          </w:p>
        </w:tc>
        <w:tc>
          <w:tcPr>
            <w:tcW w:w="1728" w:type="pct"/>
            <w:tcBorders>
              <w:top w:val="nil"/>
              <w:bottom w:val="single" w:sz="4" w:space="0" w:color="auto"/>
            </w:tcBorders>
            <w:shd w:val="clear" w:color="auto" w:fill="auto"/>
            <w:noWrap/>
            <w:vAlign w:val="bottom"/>
            <w:hideMark/>
          </w:tcPr>
          <w:p w14:paraId="64832ABC" w14:textId="3E850D48" w:rsidR="00D314F9" w:rsidRPr="009333E6" w:rsidRDefault="00DF5360" w:rsidP="002305DD">
            <w:pPr>
              <w:jc w:val="center"/>
              <w:rPr>
                <w:sz w:val="22"/>
                <w:szCs w:val="22"/>
                <w:lang w:val="id-ID" w:eastAsia="zh-CN"/>
              </w:rPr>
            </w:pPr>
            <w:r w:rsidRPr="009333E6">
              <w:rPr>
                <w:sz w:val="22"/>
                <w:szCs w:val="22"/>
                <w:lang w:val="id-ID" w:eastAsia="zh-CN"/>
              </w:rPr>
              <w:t>Very Wet</w:t>
            </w:r>
          </w:p>
        </w:tc>
        <w:tc>
          <w:tcPr>
            <w:tcW w:w="681" w:type="pct"/>
            <w:tcBorders>
              <w:top w:val="nil"/>
              <w:bottom w:val="single" w:sz="4" w:space="0" w:color="auto"/>
            </w:tcBorders>
            <w:shd w:val="clear" w:color="auto" w:fill="auto"/>
            <w:noWrap/>
            <w:vAlign w:val="bottom"/>
            <w:hideMark/>
          </w:tcPr>
          <w:p w14:paraId="170B631D" w14:textId="77777777" w:rsidR="00D314F9" w:rsidRPr="009333E6" w:rsidRDefault="00D314F9" w:rsidP="002305DD">
            <w:pPr>
              <w:jc w:val="center"/>
              <w:rPr>
                <w:sz w:val="22"/>
                <w:szCs w:val="22"/>
                <w:lang w:eastAsia="zh-CN"/>
              </w:rPr>
            </w:pPr>
            <w:r w:rsidRPr="009333E6">
              <w:rPr>
                <w:sz w:val="22"/>
                <w:szCs w:val="22"/>
                <w:lang w:eastAsia="zh-CN"/>
              </w:rPr>
              <w:t>0 - 0.2</w:t>
            </w:r>
          </w:p>
        </w:tc>
        <w:tc>
          <w:tcPr>
            <w:tcW w:w="963" w:type="pct"/>
            <w:tcBorders>
              <w:top w:val="nil"/>
              <w:bottom w:val="single" w:sz="4" w:space="0" w:color="auto"/>
            </w:tcBorders>
            <w:shd w:val="clear" w:color="auto" w:fill="auto"/>
            <w:noWrap/>
            <w:vAlign w:val="center"/>
            <w:hideMark/>
          </w:tcPr>
          <w:p w14:paraId="2AE609D5" w14:textId="77777777" w:rsidR="00D314F9" w:rsidRPr="009333E6" w:rsidRDefault="00D314F9" w:rsidP="002305DD">
            <w:pPr>
              <w:jc w:val="right"/>
              <w:rPr>
                <w:sz w:val="22"/>
                <w:szCs w:val="22"/>
                <w:lang w:eastAsia="zh-CN"/>
              </w:rPr>
            </w:pPr>
            <w:r w:rsidRPr="009333E6">
              <w:rPr>
                <w:sz w:val="22"/>
                <w:szCs w:val="22"/>
                <w:lang w:eastAsia="zh-CN"/>
              </w:rPr>
              <w:t>519.88</w:t>
            </w:r>
          </w:p>
        </w:tc>
        <w:tc>
          <w:tcPr>
            <w:tcW w:w="947" w:type="pct"/>
            <w:tcBorders>
              <w:top w:val="nil"/>
              <w:bottom w:val="single" w:sz="4" w:space="0" w:color="auto"/>
            </w:tcBorders>
            <w:shd w:val="clear" w:color="auto" w:fill="auto"/>
            <w:noWrap/>
            <w:vAlign w:val="bottom"/>
            <w:hideMark/>
          </w:tcPr>
          <w:p w14:paraId="5613EFFE" w14:textId="77777777" w:rsidR="00D314F9" w:rsidRPr="009333E6" w:rsidRDefault="00D314F9" w:rsidP="002305DD">
            <w:pPr>
              <w:jc w:val="right"/>
              <w:rPr>
                <w:sz w:val="22"/>
                <w:szCs w:val="22"/>
                <w:lang w:eastAsia="zh-CN"/>
              </w:rPr>
            </w:pPr>
            <w:r w:rsidRPr="009333E6">
              <w:rPr>
                <w:sz w:val="22"/>
                <w:szCs w:val="22"/>
                <w:lang w:eastAsia="zh-CN"/>
              </w:rPr>
              <w:t>28%</w:t>
            </w:r>
          </w:p>
        </w:tc>
      </w:tr>
      <w:tr w:rsidR="009333E6" w:rsidRPr="009333E6" w14:paraId="0D4DE0FE" w14:textId="77777777" w:rsidTr="00D314F9">
        <w:trPr>
          <w:trHeight w:val="253"/>
        </w:trPr>
        <w:tc>
          <w:tcPr>
            <w:tcW w:w="679" w:type="pct"/>
            <w:tcBorders>
              <w:top w:val="nil"/>
              <w:bottom w:val="single" w:sz="4" w:space="0" w:color="auto"/>
            </w:tcBorders>
            <w:shd w:val="clear" w:color="auto" w:fill="auto"/>
            <w:noWrap/>
            <w:vAlign w:val="bottom"/>
            <w:hideMark/>
          </w:tcPr>
          <w:p w14:paraId="2A9F251D" w14:textId="3A6EFB67"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2</w:t>
            </w:r>
          </w:p>
        </w:tc>
        <w:tc>
          <w:tcPr>
            <w:tcW w:w="1728" w:type="pct"/>
            <w:tcBorders>
              <w:top w:val="nil"/>
              <w:bottom w:val="single" w:sz="4" w:space="0" w:color="auto"/>
            </w:tcBorders>
            <w:shd w:val="clear" w:color="auto" w:fill="auto"/>
            <w:noWrap/>
            <w:vAlign w:val="bottom"/>
            <w:hideMark/>
          </w:tcPr>
          <w:p w14:paraId="365F87BA" w14:textId="4BA92013" w:rsidR="00D314F9" w:rsidRPr="009333E6" w:rsidRDefault="00DF5360" w:rsidP="002305DD">
            <w:pPr>
              <w:jc w:val="center"/>
              <w:rPr>
                <w:sz w:val="22"/>
                <w:szCs w:val="22"/>
                <w:lang w:val="id-ID" w:eastAsia="zh-CN"/>
              </w:rPr>
            </w:pPr>
            <w:r w:rsidRPr="009333E6">
              <w:rPr>
                <w:sz w:val="22"/>
                <w:szCs w:val="22"/>
                <w:lang w:val="id-ID" w:eastAsia="zh-CN"/>
              </w:rPr>
              <w:t>Wet</w:t>
            </w:r>
          </w:p>
        </w:tc>
        <w:tc>
          <w:tcPr>
            <w:tcW w:w="681" w:type="pct"/>
            <w:tcBorders>
              <w:top w:val="nil"/>
              <w:bottom w:val="single" w:sz="4" w:space="0" w:color="auto"/>
            </w:tcBorders>
            <w:shd w:val="clear" w:color="auto" w:fill="auto"/>
            <w:noWrap/>
            <w:vAlign w:val="bottom"/>
            <w:hideMark/>
          </w:tcPr>
          <w:p w14:paraId="09E6BB46" w14:textId="77777777" w:rsidR="00D314F9" w:rsidRPr="009333E6" w:rsidRDefault="00D314F9" w:rsidP="002305DD">
            <w:pPr>
              <w:jc w:val="center"/>
              <w:rPr>
                <w:sz w:val="22"/>
                <w:szCs w:val="22"/>
                <w:lang w:eastAsia="zh-CN"/>
              </w:rPr>
            </w:pPr>
            <w:r w:rsidRPr="009333E6">
              <w:rPr>
                <w:sz w:val="22"/>
                <w:szCs w:val="22"/>
                <w:lang w:eastAsia="zh-CN"/>
              </w:rPr>
              <w:t>0.2 - 0.4</w:t>
            </w:r>
          </w:p>
        </w:tc>
        <w:tc>
          <w:tcPr>
            <w:tcW w:w="963" w:type="pct"/>
            <w:tcBorders>
              <w:top w:val="nil"/>
              <w:bottom w:val="single" w:sz="4" w:space="0" w:color="auto"/>
            </w:tcBorders>
            <w:shd w:val="clear" w:color="auto" w:fill="auto"/>
            <w:noWrap/>
            <w:vAlign w:val="center"/>
            <w:hideMark/>
          </w:tcPr>
          <w:p w14:paraId="73AB1197" w14:textId="77777777" w:rsidR="00D314F9" w:rsidRPr="009333E6" w:rsidRDefault="00D314F9" w:rsidP="002305DD">
            <w:pPr>
              <w:jc w:val="right"/>
              <w:rPr>
                <w:sz w:val="22"/>
                <w:szCs w:val="22"/>
                <w:lang w:eastAsia="zh-CN"/>
              </w:rPr>
            </w:pPr>
            <w:r w:rsidRPr="009333E6">
              <w:rPr>
                <w:sz w:val="22"/>
                <w:szCs w:val="22"/>
                <w:lang w:eastAsia="zh-CN"/>
              </w:rPr>
              <w:t>663.73</w:t>
            </w:r>
          </w:p>
        </w:tc>
        <w:tc>
          <w:tcPr>
            <w:tcW w:w="947" w:type="pct"/>
            <w:tcBorders>
              <w:top w:val="nil"/>
              <w:bottom w:val="single" w:sz="4" w:space="0" w:color="auto"/>
            </w:tcBorders>
            <w:shd w:val="clear" w:color="auto" w:fill="auto"/>
            <w:noWrap/>
            <w:vAlign w:val="bottom"/>
            <w:hideMark/>
          </w:tcPr>
          <w:p w14:paraId="04CED1A9" w14:textId="77777777" w:rsidR="00D314F9" w:rsidRPr="009333E6" w:rsidRDefault="00D314F9" w:rsidP="002305DD">
            <w:pPr>
              <w:jc w:val="right"/>
              <w:rPr>
                <w:sz w:val="22"/>
                <w:szCs w:val="22"/>
                <w:lang w:eastAsia="zh-CN"/>
              </w:rPr>
            </w:pPr>
            <w:r w:rsidRPr="009333E6">
              <w:rPr>
                <w:sz w:val="22"/>
                <w:szCs w:val="22"/>
                <w:lang w:eastAsia="zh-CN"/>
              </w:rPr>
              <w:t>36%</w:t>
            </w:r>
          </w:p>
        </w:tc>
      </w:tr>
      <w:tr w:rsidR="009333E6" w:rsidRPr="009333E6" w14:paraId="104F324E" w14:textId="77777777" w:rsidTr="00D314F9">
        <w:trPr>
          <w:trHeight w:val="253"/>
        </w:trPr>
        <w:tc>
          <w:tcPr>
            <w:tcW w:w="679" w:type="pct"/>
            <w:tcBorders>
              <w:top w:val="nil"/>
              <w:bottom w:val="single" w:sz="4" w:space="0" w:color="auto"/>
            </w:tcBorders>
            <w:shd w:val="clear" w:color="auto" w:fill="auto"/>
            <w:noWrap/>
            <w:vAlign w:val="bottom"/>
            <w:hideMark/>
          </w:tcPr>
          <w:p w14:paraId="7FBD2445" w14:textId="3C57B124"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3</w:t>
            </w:r>
          </w:p>
        </w:tc>
        <w:tc>
          <w:tcPr>
            <w:tcW w:w="1728" w:type="pct"/>
            <w:tcBorders>
              <w:top w:val="nil"/>
              <w:bottom w:val="single" w:sz="4" w:space="0" w:color="auto"/>
            </w:tcBorders>
            <w:shd w:val="clear" w:color="auto" w:fill="auto"/>
            <w:noWrap/>
            <w:vAlign w:val="bottom"/>
            <w:hideMark/>
          </w:tcPr>
          <w:p w14:paraId="16256D85" w14:textId="77777777" w:rsidR="00D314F9" w:rsidRPr="009333E6" w:rsidRDefault="00D314F9" w:rsidP="002305DD">
            <w:pPr>
              <w:jc w:val="center"/>
              <w:rPr>
                <w:sz w:val="22"/>
                <w:szCs w:val="22"/>
                <w:lang w:eastAsia="zh-CN"/>
              </w:rPr>
            </w:pPr>
            <w:r w:rsidRPr="009333E6">
              <w:rPr>
                <w:sz w:val="22"/>
                <w:szCs w:val="22"/>
                <w:lang w:eastAsia="zh-CN"/>
              </w:rPr>
              <w:t>Normal</w:t>
            </w:r>
          </w:p>
        </w:tc>
        <w:tc>
          <w:tcPr>
            <w:tcW w:w="681" w:type="pct"/>
            <w:tcBorders>
              <w:top w:val="nil"/>
              <w:bottom w:val="single" w:sz="4" w:space="0" w:color="auto"/>
            </w:tcBorders>
            <w:shd w:val="clear" w:color="auto" w:fill="auto"/>
            <w:noWrap/>
            <w:vAlign w:val="bottom"/>
            <w:hideMark/>
          </w:tcPr>
          <w:p w14:paraId="34E743EF" w14:textId="77777777" w:rsidR="00D314F9" w:rsidRPr="009333E6" w:rsidRDefault="00D314F9" w:rsidP="002305DD">
            <w:pPr>
              <w:jc w:val="center"/>
              <w:rPr>
                <w:sz w:val="22"/>
                <w:szCs w:val="22"/>
                <w:lang w:eastAsia="zh-CN"/>
              </w:rPr>
            </w:pPr>
            <w:r w:rsidRPr="009333E6">
              <w:rPr>
                <w:sz w:val="22"/>
                <w:szCs w:val="22"/>
                <w:lang w:eastAsia="zh-CN"/>
              </w:rPr>
              <w:t>0.4 - 0.6</w:t>
            </w:r>
          </w:p>
        </w:tc>
        <w:tc>
          <w:tcPr>
            <w:tcW w:w="963" w:type="pct"/>
            <w:tcBorders>
              <w:top w:val="nil"/>
              <w:bottom w:val="single" w:sz="4" w:space="0" w:color="auto"/>
            </w:tcBorders>
            <w:shd w:val="clear" w:color="auto" w:fill="auto"/>
            <w:noWrap/>
            <w:vAlign w:val="center"/>
            <w:hideMark/>
          </w:tcPr>
          <w:p w14:paraId="2725FFA4" w14:textId="77777777" w:rsidR="00D314F9" w:rsidRPr="009333E6" w:rsidRDefault="00D314F9" w:rsidP="002305DD">
            <w:pPr>
              <w:jc w:val="right"/>
              <w:rPr>
                <w:sz w:val="22"/>
                <w:szCs w:val="22"/>
                <w:lang w:eastAsia="zh-CN"/>
              </w:rPr>
            </w:pPr>
            <w:r w:rsidRPr="009333E6">
              <w:rPr>
                <w:sz w:val="22"/>
                <w:szCs w:val="22"/>
                <w:lang w:eastAsia="zh-CN"/>
              </w:rPr>
              <w:t>489.80</w:t>
            </w:r>
          </w:p>
        </w:tc>
        <w:tc>
          <w:tcPr>
            <w:tcW w:w="947" w:type="pct"/>
            <w:tcBorders>
              <w:top w:val="nil"/>
              <w:bottom w:val="single" w:sz="4" w:space="0" w:color="auto"/>
            </w:tcBorders>
            <w:shd w:val="clear" w:color="auto" w:fill="auto"/>
            <w:noWrap/>
            <w:vAlign w:val="bottom"/>
            <w:hideMark/>
          </w:tcPr>
          <w:p w14:paraId="77CD0BEB" w14:textId="77777777" w:rsidR="00D314F9" w:rsidRPr="009333E6" w:rsidRDefault="00D314F9" w:rsidP="002305DD">
            <w:pPr>
              <w:jc w:val="right"/>
              <w:rPr>
                <w:sz w:val="22"/>
                <w:szCs w:val="22"/>
                <w:lang w:eastAsia="zh-CN"/>
              </w:rPr>
            </w:pPr>
            <w:r w:rsidRPr="009333E6">
              <w:rPr>
                <w:sz w:val="22"/>
                <w:szCs w:val="22"/>
                <w:lang w:eastAsia="zh-CN"/>
              </w:rPr>
              <w:t>27%</w:t>
            </w:r>
          </w:p>
        </w:tc>
      </w:tr>
      <w:tr w:rsidR="009333E6" w:rsidRPr="009333E6" w14:paraId="4773899C" w14:textId="77777777" w:rsidTr="00D314F9">
        <w:trPr>
          <w:trHeight w:val="253"/>
        </w:trPr>
        <w:tc>
          <w:tcPr>
            <w:tcW w:w="679" w:type="pct"/>
            <w:tcBorders>
              <w:top w:val="nil"/>
              <w:bottom w:val="single" w:sz="4" w:space="0" w:color="auto"/>
            </w:tcBorders>
            <w:shd w:val="clear" w:color="auto" w:fill="auto"/>
            <w:noWrap/>
            <w:vAlign w:val="bottom"/>
            <w:hideMark/>
          </w:tcPr>
          <w:p w14:paraId="49499E98" w14:textId="52E7AF6A"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4</w:t>
            </w:r>
          </w:p>
        </w:tc>
        <w:tc>
          <w:tcPr>
            <w:tcW w:w="1728" w:type="pct"/>
            <w:tcBorders>
              <w:top w:val="nil"/>
              <w:bottom w:val="single" w:sz="4" w:space="0" w:color="auto"/>
            </w:tcBorders>
            <w:shd w:val="clear" w:color="auto" w:fill="auto"/>
            <w:noWrap/>
            <w:vAlign w:val="bottom"/>
            <w:hideMark/>
          </w:tcPr>
          <w:p w14:paraId="28561944" w14:textId="63D24F68" w:rsidR="00D314F9" w:rsidRPr="009333E6" w:rsidRDefault="00DF5360" w:rsidP="002305DD">
            <w:pPr>
              <w:jc w:val="center"/>
              <w:rPr>
                <w:sz w:val="22"/>
                <w:szCs w:val="22"/>
                <w:lang w:val="id-ID" w:eastAsia="zh-CN"/>
              </w:rPr>
            </w:pPr>
            <w:r w:rsidRPr="009333E6">
              <w:rPr>
                <w:sz w:val="22"/>
                <w:szCs w:val="22"/>
                <w:lang w:val="id-ID" w:eastAsia="zh-CN"/>
              </w:rPr>
              <w:t>Dry</w:t>
            </w:r>
          </w:p>
        </w:tc>
        <w:tc>
          <w:tcPr>
            <w:tcW w:w="681" w:type="pct"/>
            <w:tcBorders>
              <w:top w:val="nil"/>
              <w:bottom w:val="single" w:sz="4" w:space="0" w:color="auto"/>
            </w:tcBorders>
            <w:shd w:val="clear" w:color="auto" w:fill="auto"/>
            <w:noWrap/>
            <w:vAlign w:val="bottom"/>
            <w:hideMark/>
          </w:tcPr>
          <w:p w14:paraId="0A141CB3" w14:textId="77777777" w:rsidR="00D314F9" w:rsidRPr="009333E6" w:rsidRDefault="00D314F9" w:rsidP="002305DD">
            <w:pPr>
              <w:jc w:val="center"/>
              <w:rPr>
                <w:sz w:val="22"/>
                <w:szCs w:val="22"/>
                <w:lang w:eastAsia="zh-CN"/>
              </w:rPr>
            </w:pPr>
            <w:r w:rsidRPr="009333E6">
              <w:rPr>
                <w:sz w:val="22"/>
                <w:szCs w:val="22"/>
                <w:lang w:eastAsia="zh-CN"/>
              </w:rPr>
              <w:t>0.6 - 0.8</w:t>
            </w:r>
          </w:p>
        </w:tc>
        <w:tc>
          <w:tcPr>
            <w:tcW w:w="963" w:type="pct"/>
            <w:tcBorders>
              <w:top w:val="nil"/>
              <w:bottom w:val="single" w:sz="4" w:space="0" w:color="auto"/>
            </w:tcBorders>
            <w:shd w:val="clear" w:color="auto" w:fill="auto"/>
            <w:noWrap/>
            <w:vAlign w:val="center"/>
            <w:hideMark/>
          </w:tcPr>
          <w:p w14:paraId="409DAE15" w14:textId="77777777" w:rsidR="00D314F9" w:rsidRPr="009333E6" w:rsidRDefault="00D314F9" w:rsidP="002305DD">
            <w:pPr>
              <w:jc w:val="right"/>
              <w:rPr>
                <w:sz w:val="22"/>
                <w:szCs w:val="22"/>
                <w:lang w:eastAsia="zh-CN"/>
              </w:rPr>
            </w:pPr>
            <w:r w:rsidRPr="009333E6">
              <w:rPr>
                <w:sz w:val="22"/>
                <w:szCs w:val="22"/>
                <w:lang w:eastAsia="zh-CN"/>
              </w:rPr>
              <w:t>156.02</w:t>
            </w:r>
          </w:p>
        </w:tc>
        <w:tc>
          <w:tcPr>
            <w:tcW w:w="947" w:type="pct"/>
            <w:tcBorders>
              <w:top w:val="nil"/>
              <w:bottom w:val="single" w:sz="4" w:space="0" w:color="auto"/>
            </w:tcBorders>
            <w:shd w:val="clear" w:color="auto" w:fill="auto"/>
            <w:noWrap/>
            <w:vAlign w:val="bottom"/>
            <w:hideMark/>
          </w:tcPr>
          <w:p w14:paraId="7C2C3829" w14:textId="77777777" w:rsidR="00D314F9" w:rsidRPr="009333E6" w:rsidRDefault="00D314F9" w:rsidP="002305DD">
            <w:pPr>
              <w:jc w:val="right"/>
              <w:rPr>
                <w:sz w:val="22"/>
                <w:szCs w:val="22"/>
                <w:lang w:eastAsia="zh-CN"/>
              </w:rPr>
            </w:pPr>
            <w:r w:rsidRPr="009333E6">
              <w:rPr>
                <w:sz w:val="22"/>
                <w:szCs w:val="22"/>
                <w:lang w:eastAsia="zh-CN"/>
              </w:rPr>
              <w:t>8%</w:t>
            </w:r>
          </w:p>
        </w:tc>
      </w:tr>
      <w:tr w:rsidR="009333E6" w:rsidRPr="009333E6" w14:paraId="2F57D930" w14:textId="77777777" w:rsidTr="00D314F9">
        <w:trPr>
          <w:trHeight w:val="253"/>
        </w:trPr>
        <w:tc>
          <w:tcPr>
            <w:tcW w:w="679" w:type="pct"/>
            <w:tcBorders>
              <w:top w:val="nil"/>
              <w:bottom w:val="single" w:sz="4" w:space="0" w:color="auto"/>
            </w:tcBorders>
            <w:shd w:val="clear" w:color="auto" w:fill="auto"/>
            <w:noWrap/>
            <w:vAlign w:val="bottom"/>
            <w:hideMark/>
          </w:tcPr>
          <w:p w14:paraId="3673044F" w14:textId="6E31B3A1"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5</w:t>
            </w:r>
          </w:p>
        </w:tc>
        <w:tc>
          <w:tcPr>
            <w:tcW w:w="1728" w:type="pct"/>
            <w:tcBorders>
              <w:top w:val="nil"/>
              <w:bottom w:val="single" w:sz="4" w:space="0" w:color="auto"/>
            </w:tcBorders>
            <w:shd w:val="clear" w:color="auto" w:fill="auto"/>
            <w:noWrap/>
            <w:vAlign w:val="bottom"/>
            <w:hideMark/>
          </w:tcPr>
          <w:p w14:paraId="75790DFB" w14:textId="393F7FF9" w:rsidR="00D314F9" w:rsidRPr="009333E6" w:rsidRDefault="00DF5360" w:rsidP="002305DD">
            <w:pPr>
              <w:jc w:val="center"/>
              <w:rPr>
                <w:sz w:val="22"/>
                <w:szCs w:val="22"/>
                <w:lang w:val="id-ID" w:eastAsia="zh-CN"/>
              </w:rPr>
            </w:pPr>
            <w:r w:rsidRPr="009333E6">
              <w:rPr>
                <w:sz w:val="22"/>
                <w:szCs w:val="22"/>
                <w:lang w:val="id-ID" w:eastAsia="zh-CN"/>
              </w:rPr>
              <w:t>Very Dry</w:t>
            </w:r>
          </w:p>
        </w:tc>
        <w:tc>
          <w:tcPr>
            <w:tcW w:w="681" w:type="pct"/>
            <w:tcBorders>
              <w:top w:val="nil"/>
              <w:bottom w:val="single" w:sz="4" w:space="0" w:color="auto"/>
            </w:tcBorders>
            <w:shd w:val="clear" w:color="auto" w:fill="auto"/>
            <w:noWrap/>
            <w:vAlign w:val="bottom"/>
            <w:hideMark/>
          </w:tcPr>
          <w:p w14:paraId="401A5ABB" w14:textId="77777777" w:rsidR="00D314F9" w:rsidRPr="009333E6" w:rsidRDefault="00D314F9" w:rsidP="002305DD">
            <w:pPr>
              <w:jc w:val="center"/>
              <w:rPr>
                <w:sz w:val="22"/>
                <w:szCs w:val="22"/>
                <w:lang w:eastAsia="zh-CN"/>
              </w:rPr>
            </w:pPr>
            <w:r w:rsidRPr="009333E6">
              <w:rPr>
                <w:sz w:val="22"/>
                <w:szCs w:val="22"/>
                <w:lang w:eastAsia="zh-CN"/>
              </w:rPr>
              <w:t>0.8 - 1.0</w:t>
            </w:r>
          </w:p>
        </w:tc>
        <w:tc>
          <w:tcPr>
            <w:tcW w:w="963" w:type="pct"/>
            <w:tcBorders>
              <w:top w:val="nil"/>
              <w:bottom w:val="single" w:sz="4" w:space="0" w:color="auto"/>
            </w:tcBorders>
            <w:shd w:val="clear" w:color="auto" w:fill="auto"/>
            <w:noWrap/>
            <w:vAlign w:val="center"/>
            <w:hideMark/>
          </w:tcPr>
          <w:p w14:paraId="4E179E36" w14:textId="77777777" w:rsidR="00D314F9" w:rsidRPr="009333E6" w:rsidRDefault="00D314F9" w:rsidP="002305DD">
            <w:pPr>
              <w:jc w:val="right"/>
              <w:rPr>
                <w:sz w:val="22"/>
                <w:szCs w:val="22"/>
                <w:lang w:eastAsia="zh-CN"/>
              </w:rPr>
            </w:pPr>
            <w:r w:rsidRPr="009333E6">
              <w:rPr>
                <w:sz w:val="22"/>
                <w:szCs w:val="22"/>
                <w:lang w:eastAsia="zh-CN"/>
              </w:rPr>
              <w:t>10.67</w:t>
            </w:r>
          </w:p>
        </w:tc>
        <w:tc>
          <w:tcPr>
            <w:tcW w:w="947" w:type="pct"/>
            <w:tcBorders>
              <w:top w:val="nil"/>
              <w:bottom w:val="single" w:sz="4" w:space="0" w:color="auto"/>
            </w:tcBorders>
            <w:shd w:val="clear" w:color="auto" w:fill="auto"/>
            <w:noWrap/>
            <w:vAlign w:val="bottom"/>
            <w:hideMark/>
          </w:tcPr>
          <w:p w14:paraId="7B1D5521" w14:textId="77777777" w:rsidR="00D314F9" w:rsidRPr="009333E6" w:rsidRDefault="00D314F9" w:rsidP="002305DD">
            <w:pPr>
              <w:jc w:val="right"/>
              <w:rPr>
                <w:sz w:val="22"/>
                <w:szCs w:val="22"/>
                <w:lang w:eastAsia="zh-CN"/>
              </w:rPr>
            </w:pPr>
            <w:r w:rsidRPr="009333E6">
              <w:rPr>
                <w:sz w:val="22"/>
                <w:szCs w:val="22"/>
                <w:lang w:eastAsia="zh-CN"/>
              </w:rPr>
              <w:t>1%</w:t>
            </w:r>
          </w:p>
        </w:tc>
      </w:tr>
      <w:tr w:rsidR="009333E6" w:rsidRPr="009333E6" w14:paraId="49300E6D" w14:textId="77777777" w:rsidTr="00D314F9">
        <w:trPr>
          <w:trHeight w:val="253"/>
        </w:trPr>
        <w:tc>
          <w:tcPr>
            <w:tcW w:w="3089" w:type="pct"/>
            <w:gridSpan w:val="3"/>
            <w:tcBorders>
              <w:top w:val="single" w:sz="4" w:space="0" w:color="auto"/>
              <w:bottom w:val="single" w:sz="4" w:space="0" w:color="auto"/>
            </w:tcBorders>
            <w:shd w:val="clear" w:color="auto" w:fill="auto"/>
            <w:noWrap/>
            <w:vAlign w:val="bottom"/>
            <w:hideMark/>
          </w:tcPr>
          <w:p w14:paraId="5833C633" w14:textId="097564BF" w:rsidR="00D314F9" w:rsidRPr="009333E6" w:rsidRDefault="00DF5360" w:rsidP="002305DD">
            <w:pPr>
              <w:jc w:val="center"/>
              <w:rPr>
                <w:b/>
                <w:bCs/>
                <w:sz w:val="22"/>
                <w:szCs w:val="22"/>
                <w:lang w:val="id-ID" w:eastAsia="zh-CN"/>
              </w:rPr>
            </w:pPr>
            <w:r w:rsidRPr="009333E6">
              <w:rPr>
                <w:b/>
                <w:bCs/>
                <w:sz w:val="22"/>
                <w:szCs w:val="22"/>
                <w:lang w:val="id-ID" w:eastAsia="zh-CN"/>
              </w:rPr>
              <w:t>Total</w:t>
            </w:r>
          </w:p>
        </w:tc>
        <w:tc>
          <w:tcPr>
            <w:tcW w:w="963" w:type="pct"/>
            <w:tcBorders>
              <w:top w:val="nil"/>
              <w:bottom w:val="single" w:sz="4" w:space="0" w:color="auto"/>
            </w:tcBorders>
            <w:shd w:val="clear" w:color="auto" w:fill="auto"/>
            <w:noWrap/>
            <w:vAlign w:val="center"/>
            <w:hideMark/>
          </w:tcPr>
          <w:p w14:paraId="55478278" w14:textId="77777777" w:rsidR="00D314F9" w:rsidRPr="009333E6" w:rsidRDefault="00D314F9" w:rsidP="002305DD">
            <w:pPr>
              <w:jc w:val="right"/>
              <w:rPr>
                <w:sz w:val="22"/>
                <w:szCs w:val="22"/>
                <w:lang w:eastAsia="zh-CN"/>
              </w:rPr>
            </w:pPr>
            <w:r w:rsidRPr="009333E6">
              <w:rPr>
                <w:sz w:val="22"/>
                <w:szCs w:val="22"/>
                <w:lang w:eastAsia="zh-CN"/>
              </w:rPr>
              <w:t>1840.10</w:t>
            </w:r>
          </w:p>
        </w:tc>
        <w:tc>
          <w:tcPr>
            <w:tcW w:w="947" w:type="pct"/>
            <w:tcBorders>
              <w:top w:val="nil"/>
              <w:bottom w:val="single" w:sz="4" w:space="0" w:color="auto"/>
            </w:tcBorders>
            <w:shd w:val="clear" w:color="auto" w:fill="auto"/>
            <w:noWrap/>
            <w:vAlign w:val="bottom"/>
            <w:hideMark/>
          </w:tcPr>
          <w:p w14:paraId="33651DAC" w14:textId="77777777" w:rsidR="00D314F9" w:rsidRPr="009333E6" w:rsidRDefault="00D314F9" w:rsidP="002305DD">
            <w:pPr>
              <w:jc w:val="right"/>
              <w:rPr>
                <w:sz w:val="22"/>
                <w:szCs w:val="22"/>
                <w:lang w:eastAsia="zh-CN"/>
              </w:rPr>
            </w:pPr>
            <w:r w:rsidRPr="009333E6">
              <w:rPr>
                <w:sz w:val="22"/>
                <w:szCs w:val="22"/>
                <w:lang w:eastAsia="zh-CN"/>
              </w:rPr>
              <w:t>100%</w:t>
            </w:r>
          </w:p>
        </w:tc>
      </w:tr>
    </w:tbl>
    <w:p w14:paraId="53A63540" w14:textId="68327C8B" w:rsidR="00D314F9" w:rsidRPr="009333E6" w:rsidRDefault="00DF5360" w:rsidP="00D314F9">
      <w:pPr>
        <w:ind w:left="66"/>
        <w:jc w:val="both"/>
        <w:rPr>
          <w:sz w:val="22"/>
          <w:szCs w:val="22"/>
        </w:rPr>
      </w:pPr>
      <w:r w:rsidRPr="009333E6">
        <w:rPr>
          <w:sz w:val="22"/>
          <w:szCs w:val="22"/>
          <w:lang w:val="id-ID"/>
        </w:rPr>
        <w:t>Source</w:t>
      </w:r>
      <w:r w:rsidR="00D314F9" w:rsidRPr="009333E6">
        <w:rPr>
          <w:sz w:val="22"/>
          <w:szCs w:val="22"/>
        </w:rPr>
        <w:t xml:space="preserve">: </w:t>
      </w:r>
      <w:r w:rsidRPr="009333E6">
        <w:rPr>
          <w:sz w:val="22"/>
          <w:szCs w:val="22"/>
          <w:lang w:val="id-ID"/>
        </w:rPr>
        <w:t>Analytical Result</w:t>
      </w:r>
      <w:r w:rsidR="00D314F9" w:rsidRPr="009333E6">
        <w:rPr>
          <w:sz w:val="22"/>
          <w:szCs w:val="22"/>
        </w:rPr>
        <w:t>, 2022</w:t>
      </w:r>
    </w:p>
    <w:p w14:paraId="2A55C74C" w14:textId="65AF9BF6" w:rsidR="00D314F9" w:rsidRPr="009333E6" w:rsidRDefault="00A75D14" w:rsidP="00E30449">
      <w:pPr>
        <w:pStyle w:val="Heading2"/>
        <w:rPr>
          <w:rFonts w:cs="Times New Roman"/>
          <w:b w:val="0"/>
          <w:bCs w:val="0"/>
          <w:sz w:val="22"/>
          <w:szCs w:val="22"/>
        </w:rPr>
      </w:pPr>
      <w:r w:rsidRPr="009333E6">
        <w:rPr>
          <w:rFonts w:cs="Times New Roman"/>
          <w:sz w:val="22"/>
          <w:szCs w:val="22"/>
          <w:lang w:val="id-ID"/>
        </w:rPr>
        <w:t xml:space="preserve">Agrotourism Area Representation in Tulungrejo Village, Batu City </w:t>
      </w:r>
    </w:p>
    <w:p w14:paraId="37CB696E" w14:textId="3EA3BD58" w:rsidR="00D314F9" w:rsidRPr="009333E6" w:rsidRDefault="00A75D14" w:rsidP="00D314F9">
      <w:pPr>
        <w:jc w:val="both"/>
        <w:rPr>
          <w:sz w:val="22"/>
          <w:szCs w:val="22"/>
        </w:rPr>
      </w:pPr>
      <w:r w:rsidRPr="009333E6">
        <w:rPr>
          <w:sz w:val="22"/>
          <w:szCs w:val="22"/>
          <w:lang w:val="id-ID"/>
        </w:rPr>
        <w:t>Tulungrejo Village is one of several agrotourism destination on Bumiaji District, Batu City with apple as its superior product. Based on a vegatation analysis, using NDVI method, it is known that Tulungrejo Village has total land coverage as presented in the following table :</w:t>
      </w:r>
      <w:r w:rsidR="00D314F9" w:rsidRPr="009333E6">
        <w:rPr>
          <w:sz w:val="22"/>
          <w:szCs w:val="22"/>
        </w:rPr>
        <w:t xml:space="preserve"> </w:t>
      </w:r>
    </w:p>
    <w:p w14:paraId="379C12E6" w14:textId="77777777" w:rsidR="00E30449" w:rsidRPr="009333E6" w:rsidRDefault="00E30449" w:rsidP="00D314F9">
      <w:pPr>
        <w:jc w:val="both"/>
        <w:rPr>
          <w:sz w:val="22"/>
          <w:szCs w:val="22"/>
        </w:rPr>
      </w:pPr>
    </w:p>
    <w:p w14:paraId="11986AFE" w14:textId="190E2763" w:rsidR="00D314F9" w:rsidRPr="009333E6" w:rsidRDefault="00DB1BCF" w:rsidP="00D314F9">
      <w:pPr>
        <w:pStyle w:val="Caption"/>
        <w:spacing w:after="0"/>
        <w:jc w:val="both"/>
        <w:rPr>
          <w:rFonts w:ascii="Times New Roman" w:hAnsi="Times New Roman" w:cs="Times New Roman"/>
          <w:i w:val="0"/>
          <w:iCs w:val="0"/>
          <w:color w:val="auto"/>
          <w:sz w:val="22"/>
          <w:szCs w:val="22"/>
        </w:rPr>
      </w:pPr>
      <w:r w:rsidRPr="009333E6">
        <w:rPr>
          <w:rFonts w:ascii="Times New Roman" w:hAnsi="Times New Roman" w:cs="Times New Roman"/>
          <w:b/>
          <w:bCs/>
          <w:i w:val="0"/>
          <w:iCs w:val="0"/>
          <w:color w:val="auto"/>
          <w:sz w:val="22"/>
          <w:szCs w:val="22"/>
        </w:rPr>
        <w:lastRenderedPageBreak/>
        <w:t>Table</w:t>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b/>
          <w:bCs/>
          <w:i w:val="0"/>
          <w:iCs w:val="0"/>
          <w:color w:val="auto"/>
          <w:sz w:val="22"/>
          <w:szCs w:val="22"/>
        </w:rPr>
        <w:fldChar w:fldCharType="begin"/>
      </w:r>
      <w:r w:rsidR="00D314F9" w:rsidRPr="009333E6">
        <w:rPr>
          <w:rFonts w:ascii="Times New Roman" w:hAnsi="Times New Roman" w:cs="Times New Roman"/>
          <w:b/>
          <w:bCs/>
          <w:i w:val="0"/>
          <w:iCs w:val="0"/>
          <w:color w:val="auto"/>
          <w:sz w:val="22"/>
          <w:szCs w:val="22"/>
        </w:rPr>
        <w:instrText xml:space="preserve"> SEQ Tabel \* ARABIC </w:instrText>
      </w:r>
      <w:r w:rsidR="00D314F9" w:rsidRPr="009333E6">
        <w:rPr>
          <w:rFonts w:ascii="Times New Roman" w:hAnsi="Times New Roman" w:cs="Times New Roman"/>
          <w:b/>
          <w:bCs/>
          <w:i w:val="0"/>
          <w:iCs w:val="0"/>
          <w:color w:val="auto"/>
          <w:sz w:val="22"/>
          <w:szCs w:val="22"/>
        </w:rPr>
        <w:fldChar w:fldCharType="separate"/>
      </w:r>
      <w:r w:rsidR="00FE0125">
        <w:rPr>
          <w:rFonts w:ascii="Times New Roman" w:hAnsi="Times New Roman" w:cs="Times New Roman"/>
          <w:b/>
          <w:bCs/>
          <w:i w:val="0"/>
          <w:iCs w:val="0"/>
          <w:noProof/>
          <w:color w:val="auto"/>
          <w:sz w:val="22"/>
          <w:szCs w:val="22"/>
        </w:rPr>
        <w:t>6</w:t>
      </w:r>
      <w:r w:rsidR="00D314F9" w:rsidRPr="009333E6">
        <w:rPr>
          <w:rFonts w:ascii="Times New Roman" w:hAnsi="Times New Roman" w:cs="Times New Roman"/>
          <w:b/>
          <w:bCs/>
          <w:i w:val="0"/>
          <w:iCs w:val="0"/>
          <w:color w:val="auto"/>
          <w:sz w:val="22"/>
          <w:szCs w:val="22"/>
        </w:rPr>
        <w:fldChar w:fldCharType="end"/>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i w:val="0"/>
          <w:iCs w:val="0"/>
          <w:color w:val="auto"/>
          <w:sz w:val="22"/>
          <w:szCs w:val="22"/>
        </w:rPr>
        <w:t xml:space="preserve">Normalized Difference Vegetation Index (NDVI) di </w:t>
      </w:r>
      <w:proofErr w:type="spellStart"/>
      <w:r w:rsidR="00D314F9" w:rsidRPr="009333E6">
        <w:rPr>
          <w:rFonts w:ascii="Times New Roman" w:hAnsi="Times New Roman" w:cs="Times New Roman"/>
          <w:i w:val="0"/>
          <w:iCs w:val="0"/>
          <w:color w:val="auto"/>
          <w:sz w:val="22"/>
          <w:szCs w:val="22"/>
        </w:rPr>
        <w:t>Desa</w:t>
      </w:r>
      <w:proofErr w:type="spellEnd"/>
      <w:r w:rsidR="00D314F9" w:rsidRPr="009333E6">
        <w:rPr>
          <w:rFonts w:ascii="Times New Roman" w:hAnsi="Times New Roman" w:cs="Times New Roman"/>
          <w:i w:val="0"/>
          <w:iCs w:val="0"/>
          <w:color w:val="auto"/>
          <w:sz w:val="22"/>
          <w:szCs w:val="22"/>
        </w:rPr>
        <w:t xml:space="preserve"> </w:t>
      </w:r>
      <w:proofErr w:type="spellStart"/>
      <w:r w:rsidR="00D314F9" w:rsidRPr="009333E6">
        <w:rPr>
          <w:rFonts w:ascii="Times New Roman" w:hAnsi="Times New Roman" w:cs="Times New Roman"/>
          <w:i w:val="0"/>
          <w:iCs w:val="0"/>
          <w:color w:val="auto"/>
          <w:sz w:val="22"/>
          <w:szCs w:val="22"/>
        </w:rPr>
        <w:t>Tulungrejo</w:t>
      </w:r>
      <w:proofErr w:type="spellEnd"/>
      <w:r w:rsidR="00D314F9" w:rsidRPr="009333E6">
        <w:rPr>
          <w:rFonts w:ascii="Times New Roman" w:hAnsi="Times New Roman" w:cs="Times New Roman"/>
          <w:i w:val="0"/>
          <w:iCs w:val="0"/>
          <w:color w:val="auto"/>
          <w:sz w:val="22"/>
          <w:szCs w:val="22"/>
        </w:rPr>
        <w:t xml:space="preserve">, </w:t>
      </w:r>
      <w:proofErr w:type="spellStart"/>
      <w:r w:rsidR="00D314F9" w:rsidRPr="009333E6">
        <w:rPr>
          <w:rFonts w:ascii="Times New Roman" w:hAnsi="Times New Roman" w:cs="Times New Roman"/>
          <w:i w:val="0"/>
          <w:iCs w:val="0"/>
          <w:color w:val="auto"/>
          <w:sz w:val="22"/>
          <w:szCs w:val="22"/>
        </w:rPr>
        <w:t>Bumiaji</w:t>
      </w:r>
      <w:proofErr w:type="spellEnd"/>
      <w:r w:rsidR="00D314F9" w:rsidRPr="009333E6">
        <w:rPr>
          <w:rFonts w:ascii="Times New Roman" w:hAnsi="Times New Roman" w:cs="Times New Roman"/>
          <w:i w:val="0"/>
          <w:iCs w:val="0"/>
          <w:color w:val="auto"/>
          <w:sz w:val="22"/>
          <w:szCs w:val="22"/>
        </w:rPr>
        <w:t>, Kota Batu</w:t>
      </w:r>
    </w:p>
    <w:tbl>
      <w:tblPr>
        <w:tblW w:w="5109" w:type="pct"/>
        <w:tblBorders>
          <w:top w:val="single" w:sz="4" w:space="0" w:color="auto"/>
          <w:bottom w:val="single" w:sz="4" w:space="0" w:color="auto"/>
          <w:insideH w:val="single" w:sz="4" w:space="0" w:color="auto"/>
        </w:tblBorders>
        <w:tblLook w:val="04A0" w:firstRow="1" w:lastRow="0" w:firstColumn="1" w:lastColumn="0" w:noHBand="0" w:noVBand="1"/>
      </w:tblPr>
      <w:tblGrid>
        <w:gridCol w:w="3798"/>
        <w:gridCol w:w="1789"/>
        <w:gridCol w:w="1654"/>
      </w:tblGrid>
      <w:tr w:rsidR="009333E6" w:rsidRPr="009333E6" w14:paraId="58C78847" w14:textId="77777777" w:rsidTr="00D314F9">
        <w:trPr>
          <w:trHeight w:val="254"/>
        </w:trPr>
        <w:tc>
          <w:tcPr>
            <w:tcW w:w="2623" w:type="pct"/>
            <w:shd w:val="clear" w:color="auto" w:fill="AEAAAA" w:themeFill="background2" w:themeFillShade="BF"/>
            <w:noWrap/>
            <w:vAlign w:val="center"/>
            <w:hideMark/>
          </w:tcPr>
          <w:p w14:paraId="1F4D576F" w14:textId="4CA3BF8B" w:rsidR="00D314F9" w:rsidRPr="009333E6" w:rsidRDefault="00A75D14" w:rsidP="002305DD">
            <w:pPr>
              <w:jc w:val="center"/>
              <w:rPr>
                <w:b/>
                <w:bCs/>
                <w:sz w:val="22"/>
                <w:szCs w:val="22"/>
                <w:lang w:val="id-ID" w:eastAsia="zh-CN"/>
              </w:rPr>
            </w:pPr>
            <w:r w:rsidRPr="009333E6">
              <w:rPr>
                <w:b/>
                <w:bCs/>
                <w:sz w:val="22"/>
                <w:szCs w:val="22"/>
                <w:lang w:val="id-ID" w:eastAsia="zh-CN"/>
              </w:rPr>
              <w:t>Vegetation Index</w:t>
            </w:r>
          </w:p>
        </w:tc>
        <w:tc>
          <w:tcPr>
            <w:tcW w:w="1235" w:type="pct"/>
            <w:shd w:val="clear" w:color="auto" w:fill="AEAAAA" w:themeFill="background2" w:themeFillShade="BF"/>
            <w:noWrap/>
            <w:vAlign w:val="center"/>
            <w:hideMark/>
          </w:tcPr>
          <w:p w14:paraId="752009E6" w14:textId="433A6D56" w:rsidR="00D314F9" w:rsidRPr="009333E6" w:rsidRDefault="00A75D14" w:rsidP="002305DD">
            <w:pPr>
              <w:jc w:val="center"/>
              <w:rPr>
                <w:b/>
                <w:bCs/>
                <w:sz w:val="22"/>
                <w:szCs w:val="22"/>
                <w:lang w:eastAsia="zh-CN"/>
              </w:rPr>
            </w:pPr>
            <w:r w:rsidRPr="009333E6">
              <w:rPr>
                <w:b/>
                <w:bCs/>
                <w:sz w:val="22"/>
                <w:szCs w:val="22"/>
                <w:lang w:val="id-ID" w:eastAsia="zh-CN"/>
              </w:rPr>
              <w:t>Coverage</w:t>
            </w:r>
            <w:r w:rsidR="00D314F9" w:rsidRPr="009333E6">
              <w:rPr>
                <w:b/>
                <w:bCs/>
                <w:sz w:val="22"/>
                <w:szCs w:val="22"/>
                <w:lang w:eastAsia="zh-CN"/>
              </w:rPr>
              <w:t xml:space="preserve"> (Ha)</w:t>
            </w:r>
          </w:p>
        </w:tc>
        <w:tc>
          <w:tcPr>
            <w:tcW w:w="1142" w:type="pct"/>
            <w:shd w:val="clear" w:color="auto" w:fill="AEAAAA" w:themeFill="background2" w:themeFillShade="BF"/>
            <w:noWrap/>
            <w:vAlign w:val="bottom"/>
            <w:hideMark/>
          </w:tcPr>
          <w:p w14:paraId="6928AED1" w14:textId="11E062A8" w:rsidR="00D314F9" w:rsidRPr="009333E6" w:rsidRDefault="00D314F9" w:rsidP="002305DD">
            <w:pPr>
              <w:jc w:val="center"/>
              <w:rPr>
                <w:b/>
                <w:bCs/>
                <w:sz w:val="22"/>
                <w:szCs w:val="22"/>
                <w:lang w:val="id-ID" w:eastAsia="zh-CN"/>
              </w:rPr>
            </w:pPr>
            <w:r w:rsidRPr="009333E6">
              <w:rPr>
                <w:b/>
                <w:bCs/>
                <w:sz w:val="22"/>
                <w:szCs w:val="22"/>
                <w:lang w:eastAsia="zh-CN"/>
              </w:rPr>
              <w:t>Per</w:t>
            </w:r>
            <w:r w:rsidR="00A75D14" w:rsidRPr="009333E6">
              <w:rPr>
                <w:b/>
                <w:bCs/>
                <w:sz w:val="22"/>
                <w:szCs w:val="22"/>
                <w:lang w:val="id-ID" w:eastAsia="zh-CN"/>
              </w:rPr>
              <w:t>centage</w:t>
            </w:r>
          </w:p>
        </w:tc>
      </w:tr>
      <w:tr w:rsidR="009333E6" w:rsidRPr="009333E6" w14:paraId="1CE44753" w14:textId="77777777" w:rsidTr="00D314F9">
        <w:trPr>
          <w:trHeight w:val="254"/>
        </w:trPr>
        <w:tc>
          <w:tcPr>
            <w:tcW w:w="2623" w:type="pct"/>
            <w:shd w:val="clear" w:color="auto" w:fill="auto"/>
            <w:noWrap/>
            <w:vAlign w:val="center"/>
            <w:hideMark/>
          </w:tcPr>
          <w:p w14:paraId="79C3EB66" w14:textId="6120DA30" w:rsidR="00D314F9" w:rsidRPr="009333E6" w:rsidRDefault="00A75D14" w:rsidP="002305DD">
            <w:pPr>
              <w:rPr>
                <w:sz w:val="22"/>
                <w:szCs w:val="22"/>
                <w:lang w:val="id-ID" w:eastAsia="zh-CN"/>
              </w:rPr>
            </w:pPr>
            <w:r w:rsidRPr="009333E6">
              <w:rPr>
                <w:sz w:val="22"/>
                <w:szCs w:val="22"/>
                <w:lang w:val="id-ID" w:eastAsia="zh-CN"/>
              </w:rPr>
              <w:t>High Vegetation</w:t>
            </w:r>
          </w:p>
        </w:tc>
        <w:tc>
          <w:tcPr>
            <w:tcW w:w="1235" w:type="pct"/>
            <w:shd w:val="clear" w:color="auto" w:fill="auto"/>
            <w:noWrap/>
            <w:hideMark/>
          </w:tcPr>
          <w:p w14:paraId="6C2A9F90" w14:textId="77777777" w:rsidR="00D314F9" w:rsidRPr="009333E6" w:rsidRDefault="00D314F9" w:rsidP="002305DD">
            <w:pPr>
              <w:jc w:val="right"/>
              <w:rPr>
                <w:sz w:val="22"/>
                <w:szCs w:val="22"/>
                <w:lang w:eastAsia="zh-CN"/>
              </w:rPr>
            </w:pPr>
            <w:r w:rsidRPr="009333E6">
              <w:rPr>
                <w:sz w:val="22"/>
                <w:szCs w:val="22"/>
              </w:rPr>
              <w:t>672.55</w:t>
            </w:r>
          </w:p>
        </w:tc>
        <w:tc>
          <w:tcPr>
            <w:tcW w:w="1142" w:type="pct"/>
            <w:shd w:val="clear" w:color="auto" w:fill="auto"/>
            <w:noWrap/>
            <w:vAlign w:val="bottom"/>
            <w:hideMark/>
          </w:tcPr>
          <w:p w14:paraId="3A384CBA" w14:textId="77777777" w:rsidR="00D314F9" w:rsidRPr="009333E6" w:rsidRDefault="00D314F9" w:rsidP="002305DD">
            <w:pPr>
              <w:jc w:val="right"/>
              <w:rPr>
                <w:sz w:val="22"/>
                <w:szCs w:val="22"/>
                <w:lang w:eastAsia="zh-CN"/>
              </w:rPr>
            </w:pPr>
            <w:r w:rsidRPr="009333E6">
              <w:rPr>
                <w:sz w:val="22"/>
                <w:szCs w:val="22"/>
                <w:lang w:eastAsia="zh-CN"/>
              </w:rPr>
              <w:t>10%</w:t>
            </w:r>
          </w:p>
        </w:tc>
      </w:tr>
      <w:tr w:rsidR="009333E6" w:rsidRPr="009333E6" w14:paraId="709FFEEB" w14:textId="77777777" w:rsidTr="00D314F9">
        <w:trPr>
          <w:trHeight w:val="254"/>
        </w:trPr>
        <w:tc>
          <w:tcPr>
            <w:tcW w:w="2623" w:type="pct"/>
            <w:shd w:val="clear" w:color="auto" w:fill="auto"/>
            <w:noWrap/>
            <w:vAlign w:val="center"/>
            <w:hideMark/>
          </w:tcPr>
          <w:p w14:paraId="7C910720" w14:textId="0EE7356B" w:rsidR="00D314F9" w:rsidRPr="009333E6" w:rsidRDefault="00A75D14" w:rsidP="002305DD">
            <w:pPr>
              <w:rPr>
                <w:sz w:val="22"/>
                <w:szCs w:val="22"/>
                <w:lang w:val="id-ID" w:eastAsia="zh-CN"/>
              </w:rPr>
            </w:pPr>
            <w:r w:rsidRPr="009333E6">
              <w:rPr>
                <w:sz w:val="22"/>
                <w:szCs w:val="22"/>
                <w:lang w:val="id-ID" w:eastAsia="zh-CN"/>
              </w:rPr>
              <w:t>Medium Vegetation</w:t>
            </w:r>
          </w:p>
        </w:tc>
        <w:tc>
          <w:tcPr>
            <w:tcW w:w="1235" w:type="pct"/>
            <w:shd w:val="clear" w:color="auto" w:fill="auto"/>
            <w:noWrap/>
            <w:hideMark/>
          </w:tcPr>
          <w:p w14:paraId="62CB5DDE" w14:textId="77777777" w:rsidR="00D314F9" w:rsidRPr="009333E6" w:rsidRDefault="00D314F9" w:rsidP="002305DD">
            <w:pPr>
              <w:jc w:val="right"/>
              <w:rPr>
                <w:sz w:val="22"/>
                <w:szCs w:val="22"/>
                <w:lang w:eastAsia="zh-CN"/>
              </w:rPr>
            </w:pPr>
            <w:r w:rsidRPr="009333E6">
              <w:rPr>
                <w:sz w:val="22"/>
                <w:szCs w:val="22"/>
              </w:rPr>
              <w:t>5289.11</w:t>
            </w:r>
          </w:p>
        </w:tc>
        <w:tc>
          <w:tcPr>
            <w:tcW w:w="1142" w:type="pct"/>
            <w:shd w:val="clear" w:color="auto" w:fill="auto"/>
            <w:noWrap/>
            <w:vAlign w:val="bottom"/>
            <w:hideMark/>
          </w:tcPr>
          <w:p w14:paraId="2EDD089B" w14:textId="77777777" w:rsidR="00D314F9" w:rsidRPr="009333E6" w:rsidRDefault="00D314F9" w:rsidP="002305DD">
            <w:pPr>
              <w:jc w:val="right"/>
              <w:rPr>
                <w:sz w:val="22"/>
                <w:szCs w:val="22"/>
                <w:lang w:eastAsia="zh-CN"/>
              </w:rPr>
            </w:pPr>
            <w:r w:rsidRPr="009333E6">
              <w:rPr>
                <w:sz w:val="22"/>
                <w:szCs w:val="22"/>
                <w:lang w:eastAsia="zh-CN"/>
              </w:rPr>
              <w:t>77%</w:t>
            </w:r>
          </w:p>
        </w:tc>
      </w:tr>
      <w:tr w:rsidR="009333E6" w:rsidRPr="009333E6" w14:paraId="7CA9FE43" w14:textId="77777777" w:rsidTr="00D314F9">
        <w:trPr>
          <w:trHeight w:val="254"/>
        </w:trPr>
        <w:tc>
          <w:tcPr>
            <w:tcW w:w="2623" w:type="pct"/>
            <w:shd w:val="clear" w:color="auto" w:fill="auto"/>
            <w:noWrap/>
            <w:vAlign w:val="center"/>
            <w:hideMark/>
          </w:tcPr>
          <w:p w14:paraId="45036AB1" w14:textId="56055EBE" w:rsidR="00D314F9" w:rsidRPr="009333E6" w:rsidRDefault="00A75D14" w:rsidP="002305DD">
            <w:pPr>
              <w:rPr>
                <w:sz w:val="22"/>
                <w:szCs w:val="22"/>
                <w:lang w:val="id-ID" w:eastAsia="zh-CN"/>
              </w:rPr>
            </w:pPr>
            <w:r w:rsidRPr="009333E6">
              <w:rPr>
                <w:sz w:val="22"/>
                <w:szCs w:val="22"/>
                <w:lang w:val="id-ID" w:eastAsia="zh-CN"/>
              </w:rPr>
              <w:t>Very Low Vegetation</w:t>
            </w:r>
          </w:p>
        </w:tc>
        <w:tc>
          <w:tcPr>
            <w:tcW w:w="1235" w:type="pct"/>
            <w:shd w:val="clear" w:color="auto" w:fill="auto"/>
            <w:noWrap/>
            <w:hideMark/>
          </w:tcPr>
          <w:p w14:paraId="2F20E2BE" w14:textId="77777777" w:rsidR="00D314F9" w:rsidRPr="009333E6" w:rsidRDefault="00D314F9" w:rsidP="002305DD">
            <w:pPr>
              <w:jc w:val="right"/>
              <w:rPr>
                <w:sz w:val="22"/>
                <w:szCs w:val="22"/>
                <w:lang w:eastAsia="zh-CN"/>
              </w:rPr>
            </w:pPr>
            <w:r w:rsidRPr="009333E6">
              <w:rPr>
                <w:sz w:val="22"/>
                <w:szCs w:val="22"/>
              </w:rPr>
              <w:t>364.37</w:t>
            </w:r>
          </w:p>
        </w:tc>
        <w:tc>
          <w:tcPr>
            <w:tcW w:w="1142" w:type="pct"/>
            <w:shd w:val="clear" w:color="auto" w:fill="auto"/>
            <w:noWrap/>
            <w:vAlign w:val="bottom"/>
            <w:hideMark/>
          </w:tcPr>
          <w:p w14:paraId="1BA74FB8" w14:textId="77777777" w:rsidR="00D314F9" w:rsidRPr="009333E6" w:rsidRDefault="00D314F9" w:rsidP="002305DD">
            <w:pPr>
              <w:jc w:val="right"/>
              <w:rPr>
                <w:sz w:val="22"/>
                <w:szCs w:val="22"/>
                <w:lang w:eastAsia="zh-CN"/>
              </w:rPr>
            </w:pPr>
            <w:r w:rsidRPr="009333E6">
              <w:rPr>
                <w:sz w:val="22"/>
                <w:szCs w:val="22"/>
                <w:lang w:eastAsia="zh-CN"/>
              </w:rPr>
              <w:t>5%</w:t>
            </w:r>
          </w:p>
        </w:tc>
      </w:tr>
      <w:tr w:rsidR="009333E6" w:rsidRPr="009333E6" w14:paraId="03205F00" w14:textId="77777777" w:rsidTr="00D314F9">
        <w:trPr>
          <w:trHeight w:val="254"/>
        </w:trPr>
        <w:tc>
          <w:tcPr>
            <w:tcW w:w="2623" w:type="pct"/>
            <w:shd w:val="clear" w:color="auto" w:fill="auto"/>
            <w:noWrap/>
            <w:vAlign w:val="center"/>
            <w:hideMark/>
          </w:tcPr>
          <w:p w14:paraId="208C47ED" w14:textId="036EB53D" w:rsidR="00D314F9" w:rsidRPr="009333E6" w:rsidRDefault="00A75D14" w:rsidP="002305DD">
            <w:pPr>
              <w:rPr>
                <w:sz w:val="22"/>
                <w:szCs w:val="22"/>
                <w:lang w:val="id-ID" w:eastAsia="zh-CN"/>
              </w:rPr>
            </w:pPr>
            <w:r w:rsidRPr="009333E6">
              <w:rPr>
                <w:sz w:val="22"/>
                <w:szCs w:val="22"/>
                <w:lang w:val="id-ID" w:eastAsia="zh-CN"/>
              </w:rPr>
              <w:t>Low Vegetation</w:t>
            </w:r>
          </w:p>
        </w:tc>
        <w:tc>
          <w:tcPr>
            <w:tcW w:w="1235" w:type="pct"/>
            <w:shd w:val="clear" w:color="auto" w:fill="auto"/>
            <w:noWrap/>
            <w:hideMark/>
          </w:tcPr>
          <w:p w14:paraId="40B0250A" w14:textId="77777777" w:rsidR="00D314F9" w:rsidRPr="009333E6" w:rsidRDefault="00D314F9" w:rsidP="002305DD">
            <w:pPr>
              <w:jc w:val="right"/>
              <w:rPr>
                <w:sz w:val="22"/>
                <w:szCs w:val="22"/>
                <w:lang w:eastAsia="zh-CN"/>
              </w:rPr>
            </w:pPr>
            <w:r w:rsidRPr="009333E6">
              <w:rPr>
                <w:sz w:val="22"/>
                <w:szCs w:val="22"/>
              </w:rPr>
              <w:t>541.82</w:t>
            </w:r>
          </w:p>
        </w:tc>
        <w:tc>
          <w:tcPr>
            <w:tcW w:w="1142" w:type="pct"/>
            <w:shd w:val="clear" w:color="auto" w:fill="auto"/>
            <w:noWrap/>
            <w:vAlign w:val="bottom"/>
            <w:hideMark/>
          </w:tcPr>
          <w:p w14:paraId="4089D796" w14:textId="77777777" w:rsidR="00D314F9" w:rsidRPr="009333E6" w:rsidRDefault="00D314F9" w:rsidP="002305DD">
            <w:pPr>
              <w:jc w:val="right"/>
              <w:rPr>
                <w:sz w:val="22"/>
                <w:szCs w:val="22"/>
                <w:lang w:eastAsia="zh-CN"/>
              </w:rPr>
            </w:pPr>
            <w:r w:rsidRPr="009333E6">
              <w:rPr>
                <w:sz w:val="22"/>
                <w:szCs w:val="22"/>
                <w:lang w:eastAsia="zh-CN"/>
              </w:rPr>
              <w:t>8%</w:t>
            </w:r>
          </w:p>
        </w:tc>
      </w:tr>
      <w:tr w:rsidR="009333E6" w:rsidRPr="009333E6" w14:paraId="26351BFA" w14:textId="77777777" w:rsidTr="00D314F9">
        <w:trPr>
          <w:trHeight w:val="254"/>
        </w:trPr>
        <w:tc>
          <w:tcPr>
            <w:tcW w:w="2623" w:type="pct"/>
            <w:shd w:val="clear" w:color="auto" w:fill="auto"/>
            <w:noWrap/>
            <w:vAlign w:val="center"/>
            <w:hideMark/>
          </w:tcPr>
          <w:p w14:paraId="0BE93DBF" w14:textId="742F8C31" w:rsidR="00D314F9" w:rsidRPr="009333E6" w:rsidRDefault="00D314F9" w:rsidP="002305DD">
            <w:pPr>
              <w:rPr>
                <w:sz w:val="22"/>
                <w:szCs w:val="22"/>
                <w:lang w:val="id-ID" w:eastAsia="zh-CN"/>
              </w:rPr>
            </w:pPr>
            <w:proofErr w:type="gramStart"/>
            <w:r w:rsidRPr="009333E6">
              <w:rPr>
                <w:sz w:val="22"/>
                <w:szCs w:val="22"/>
                <w:lang w:eastAsia="zh-CN"/>
              </w:rPr>
              <w:t xml:space="preserve">Non </w:t>
            </w:r>
            <w:proofErr w:type="spellStart"/>
            <w:r w:rsidRPr="009333E6">
              <w:rPr>
                <w:sz w:val="22"/>
                <w:szCs w:val="22"/>
                <w:lang w:eastAsia="zh-CN"/>
              </w:rPr>
              <w:t>Vegeta</w:t>
            </w:r>
            <w:proofErr w:type="spellEnd"/>
            <w:r w:rsidR="00A75D14" w:rsidRPr="009333E6">
              <w:rPr>
                <w:sz w:val="22"/>
                <w:szCs w:val="22"/>
                <w:lang w:val="id-ID" w:eastAsia="zh-CN"/>
              </w:rPr>
              <w:t>tion</w:t>
            </w:r>
            <w:proofErr w:type="gramEnd"/>
          </w:p>
        </w:tc>
        <w:tc>
          <w:tcPr>
            <w:tcW w:w="1235" w:type="pct"/>
            <w:shd w:val="clear" w:color="auto" w:fill="auto"/>
            <w:noWrap/>
            <w:hideMark/>
          </w:tcPr>
          <w:p w14:paraId="0DF28B74" w14:textId="77777777" w:rsidR="00D314F9" w:rsidRPr="009333E6" w:rsidRDefault="00D314F9" w:rsidP="002305DD">
            <w:pPr>
              <w:jc w:val="right"/>
              <w:rPr>
                <w:sz w:val="22"/>
                <w:szCs w:val="22"/>
                <w:lang w:eastAsia="zh-CN"/>
              </w:rPr>
            </w:pPr>
            <w:r w:rsidRPr="009333E6">
              <w:rPr>
                <w:sz w:val="22"/>
                <w:szCs w:val="22"/>
              </w:rPr>
              <w:t>42.15</w:t>
            </w:r>
          </w:p>
        </w:tc>
        <w:tc>
          <w:tcPr>
            <w:tcW w:w="1142" w:type="pct"/>
            <w:shd w:val="clear" w:color="auto" w:fill="auto"/>
            <w:noWrap/>
            <w:vAlign w:val="bottom"/>
            <w:hideMark/>
          </w:tcPr>
          <w:p w14:paraId="2CDC9B0D" w14:textId="77777777" w:rsidR="00D314F9" w:rsidRPr="009333E6" w:rsidRDefault="00D314F9" w:rsidP="002305DD">
            <w:pPr>
              <w:jc w:val="right"/>
              <w:rPr>
                <w:sz w:val="22"/>
                <w:szCs w:val="22"/>
                <w:lang w:eastAsia="zh-CN"/>
              </w:rPr>
            </w:pPr>
            <w:r w:rsidRPr="009333E6">
              <w:rPr>
                <w:sz w:val="22"/>
                <w:szCs w:val="22"/>
                <w:lang w:eastAsia="zh-CN"/>
              </w:rPr>
              <w:t>1%</w:t>
            </w:r>
          </w:p>
        </w:tc>
      </w:tr>
    </w:tbl>
    <w:p w14:paraId="5E7F0446" w14:textId="64188249" w:rsidR="00D314F9" w:rsidRPr="009333E6" w:rsidRDefault="00A75D14" w:rsidP="00D314F9">
      <w:pPr>
        <w:ind w:left="66"/>
        <w:jc w:val="both"/>
        <w:rPr>
          <w:sz w:val="22"/>
          <w:szCs w:val="22"/>
        </w:rPr>
      </w:pPr>
      <w:r w:rsidRPr="009333E6">
        <w:rPr>
          <w:sz w:val="22"/>
          <w:szCs w:val="22"/>
          <w:lang w:val="id-ID"/>
        </w:rPr>
        <w:t>Source</w:t>
      </w:r>
      <w:r w:rsidR="00D314F9" w:rsidRPr="009333E6">
        <w:rPr>
          <w:sz w:val="22"/>
          <w:szCs w:val="22"/>
        </w:rPr>
        <w:t xml:space="preserve">: </w:t>
      </w:r>
      <w:r w:rsidRPr="009333E6">
        <w:rPr>
          <w:sz w:val="22"/>
          <w:szCs w:val="22"/>
          <w:lang w:val="id-ID"/>
        </w:rPr>
        <w:t>Analytical Result</w:t>
      </w:r>
      <w:r w:rsidR="00D314F9" w:rsidRPr="009333E6">
        <w:rPr>
          <w:sz w:val="22"/>
          <w:szCs w:val="22"/>
        </w:rPr>
        <w:t>, 2022</w:t>
      </w:r>
    </w:p>
    <w:p w14:paraId="49D3C756" w14:textId="77777777" w:rsidR="00D314F9" w:rsidRPr="009333E6" w:rsidRDefault="00D314F9" w:rsidP="00D314F9">
      <w:pPr>
        <w:ind w:left="66"/>
        <w:jc w:val="both"/>
        <w:rPr>
          <w:sz w:val="22"/>
          <w:szCs w:val="22"/>
        </w:rPr>
      </w:pPr>
    </w:p>
    <w:p w14:paraId="35A2A7C5" w14:textId="3B1E26D3" w:rsidR="00A75D14" w:rsidRPr="009333E6" w:rsidRDefault="00A75D14" w:rsidP="00A75D14">
      <w:pPr>
        <w:jc w:val="both"/>
        <w:rPr>
          <w:sz w:val="22"/>
          <w:szCs w:val="22"/>
        </w:rPr>
      </w:pPr>
      <w:r w:rsidRPr="009333E6">
        <w:rPr>
          <w:sz w:val="22"/>
          <w:szCs w:val="22"/>
        </w:rPr>
        <w:t xml:space="preserve">TVDI </w:t>
      </w:r>
      <w:r w:rsidRPr="009333E6">
        <w:rPr>
          <w:sz w:val="22"/>
          <w:szCs w:val="22"/>
          <w:lang w:val="id-ID"/>
        </w:rPr>
        <w:t xml:space="preserve">as an indicator of drought level measurement in a certain study area, in the context of The Role of Agrotourism on Environment Sustainibility study, it </w:t>
      </w:r>
      <w:proofErr w:type="gramStart"/>
      <w:r w:rsidRPr="009333E6">
        <w:rPr>
          <w:sz w:val="22"/>
          <w:szCs w:val="22"/>
          <w:lang w:val="id-ID"/>
        </w:rPr>
        <w:t>function</w:t>
      </w:r>
      <w:proofErr w:type="gramEnd"/>
      <w:r w:rsidRPr="009333E6">
        <w:rPr>
          <w:sz w:val="22"/>
          <w:szCs w:val="22"/>
          <w:lang w:val="id-ID"/>
        </w:rPr>
        <w:t xml:space="preserve"> as a fundamental on measuring the Tourism Attraction in Tulungrejo Village with apple product as its superior based product reviewed from the drought level.</w:t>
      </w:r>
    </w:p>
    <w:p w14:paraId="4E3B507F" w14:textId="77777777" w:rsidR="00E30449" w:rsidRPr="009333E6" w:rsidRDefault="00E30449" w:rsidP="00D314F9">
      <w:pPr>
        <w:jc w:val="both"/>
        <w:rPr>
          <w:sz w:val="22"/>
          <w:szCs w:val="22"/>
        </w:rPr>
      </w:pPr>
    </w:p>
    <w:p w14:paraId="0E3CCFBA" w14:textId="0769DACE" w:rsidR="00D314F9" w:rsidRPr="009333E6" w:rsidRDefault="00DB1BCF" w:rsidP="00D314F9">
      <w:pPr>
        <w:pStyle w:val="Caption"/>
        <w:spacing w:after="0"/>
        <w:jc w:val="both"/>
        <w:rPr>
          <w:rFonts w:ascii="Times New Roman" w:hAnsi="Times New Roman" w:cs="Times New Roman"/>
          <w:i w:val="0"/>
          <w:iCs w:val="0"/>
          <w:color w:val="auto"/>
          <w:sz w:val="22"/>
          <w:szCs w:val="22"/>
        </w:rPr>
      </w:pPr>
      <w:r w:rsidRPr="009333E6">
        <w:rPr>
          <w:rFonts w:ascii="Times New Roman" w:hAnsi="Times New Roman" w:cs="Times New Roman"/>
          <w:b/>
          <w:bCs/>
          <w:i w:val="0"/>
          <w:iCs w:val="0"/>
          <w:color w:val="auto"/>
          <w:sz w:val="22"/>
          <w:szCs w:val="22"/>
        </w:rPr>
        <w:t>Table</w:t>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b/>
          <w:bCs/>
          <w:i w:val="0"/>
          <w:iCs w:val="0"/>
          <w:color w:val="auto"/>
          <w:sz w:val="22"/>
          <w:szCs w:val="22"/>
        </w:rPr>
        <w:fldChar w:fldCharType="begin"/>
      </w:r>
      <w:r w:rsidR="00D314F9" w:rsidRPr="009333E6">
        <w:rPr>
          <w:rFonts w:ascii="Times New Roman" w:hAnsi="Times New Roman" w:cs="Times New Roman"/>
          <w:b/>
          <w:bCs/>
          <w:i w:val="0"/>
          <w:iCs w:val="0"/>
          <w:color w:val="auto"/>
          <w:sz w:val="22"/>
          <w:szCs w:val="22"/>
        </w:rPr>
        <w:instrText xml:space="preserve"> SEQ Tabel \* ARABIC </w:instrText>
      </w:r>
      <w:r w:rsidR="00D314F9" w:rsidRPr="009333E6">
        <w:rPr>
          <w:rFonts w:ascii="Times New Roman" w:hAnsi="Times New Roman" w:cs="Times New Roman"/>
          <w:b/>
          <w:bCs/>
          <w:i w:val="0"/>
          <w:iCs w:val="0"/>
          <w:color w:val="auto"/>
          <w:sz w:val="22"/>
          <w:szCs w:val="22"/>
        </w:rPr>
        <w:fldChar w:fldCharType="separate"/>
      </w:r>
      <w:r w:rsidR="00FE0125">
        <w:rPr>
          <w:rFonts w:ascii="Times New Roman" w:hAnsi="Times New Roman" w:cs="Times New Roman"/>
          <w:b/>
          <w:bCs/>
          <w:i w:val="0"/>
          <w:iCs w:val="0"/>
          <w:noProof/>
          <w:color w:val="auto"/>
          <w:sz w:val="22"/>
          <w:szCs w:val="22"/>
        </w:rPr>
        <w:t>7</w:t>
      </w:r>
      <w:r w:rsidR="00D314F9" w:rsidRPr="009333E6">
        <w:rPr>
          <w:rFonts w:ascii="Times New Roman" w:hAnsi="Times New Roman" w:cs="Times New Roman"/>
          <w:b/>
          <w:bCs/>
          <w:i w:val="0"/>
          <w:iCs w:val="0"/>
          <w:color w:val="auto"/>
          <w:sz w:val="22"/>
          <w:szCs w:val="22"/>
        </w:rPr>
        <w:fldChar w:fldCharType="end"/>
      </w:r>
      <w:r w:rsidR="00D314F9" w:rsidRPr="009333E6">
        <w:rPr>
          <w:rFonts w:ascii="Times New Roman" w:hAnsi="Times New Roman" w:cs="Times New Roman"/>
          <w:b/>
          <w:bCs/>
          <w:i w:val="0"/>
          <w:iCs w:val="0"/>
          <w:color w:val="auto"/>
          <w:sz w:val="22"/>
          <w:szCs w:val="22"/>
        </w:rPr>
        <w:t xml:space="preserve"> </w:t>
      </w:r>
      <w:r w:rsidR="00D314F9" w:rsidRPr="009333E6">
        <w:rPr>
          <w:rFonts w:ascii="Times New Roman" w:hAnsi="Times New Roman" w:cs="Times New Roman"/>
          <w:i w:val="0"/>
          <w:iCs w:val="0"/>
          <w:color w:val="auto"/>
          <w:sz w:val="22"/>
          <w:szCs w:val="22"/>
        </w:rPr>
        <w:t xml:space="preserve">Temperature Vegetation Dryness Index (TVDI) di </w:t>
      </w:r>
      <w:proofErr w:type="spellStart"/>
      <w:r w:rsidR="00D314F9" w:rsidRPr="009333E6">
        <w:rPr>
          <w:rFonts w:ascii="Times New Roman" w:hAnsi="Times New Roman" w:cs="Times New Roman"/>
          <w:i w:val="0"/>
          <w:iCs w:val="0"/>
          <w:color w:val="auto"/>
          <w:sz w:val="22"/>
          <w:szCs w:val="22"/>
        </w:rPr>
        <w:t>Desa</w:t>
      </w:r>
      <w:proofErr w:type="spellEnd"/>
      <w:r w:rsidR="00D314F9" w:rsidRPr="009333E6">
        <w:rPr>
          <w:rFonts w:ascii="Times New Roman" w:hAnsi="Times New Roman" w:cs="Times New Roman"/>
          <w:i w:val="0"/>
          <w:iCs w:val="0"/>
          <w:color w:val="auto"/>
          <w:sz w:val="22"/>
          <w:szCs w:val="22"/>
        </w:rPr>
        <w:t xml:space="preserve"> </w:t>
      </w:r>
      <w:proofErr w:type="spellStart"/>
      <w:r w:rsidR="00D314F9" w:rsidRPr="009333E6">
        <w:rPr>
          <w:rFonts w:ascii="Times New Roman" w:hAnsi="Times New Roman" w:cs="Times New Roman"/>
          <w:i w:val="0"/>
          <w:iCs w:val="0"/>
          <w:color w:val="auto"/>
          <w:sz w:val="22"/>
          <w:szCs w:val="22"/>
        </w:rPr>
        <w:t>Tulungrejo</w:t>
      </w:r>
      <w:proofErr w:type="spellEnd"/>
      <w:r w:rsidR="00D314F9" w:rsidRPr="009333E6">
        <w:rPr>
          <w:rFonts w:ascii="Times New Roman" w:hAnsi="Times New Roman" w:cs="Times New Roman"/>
          <w:i w:val="0"/>
          <w:iCs w:val="0"/>
          <w:color w:val="auto"/>
          <w:sz w:val="22"/>
          <w:szCs w:val="22"/>
        </w:rPr>
        <w:t xml:space="preserve">, </w:t>
      </w:r>
      <w:proofErr w:type="spellStart"/>
      <w:r w:rsidR="00D314F9" w:rsidRPr="009333E6">
        <w:rPr>
          <w:rFonts w:ascii="Times New Roman" w:hAnsi="Times New Roman" w:cs="Times New Roman"/>
          <w:i w:val="0"/>
          <w:iCs w:val="0"/>
          <w:color w:val="auto"/>
          <w:sz w:val="22"/>
          <w:szCs w:val="22"/>
        </w:rPr>
        <w:t>Bumiaji</w:t>
      </w:r>
      <w:proofErr w:type="spellEnd"/>
      <w:r w:rsidR="00D314F9" w:rsidRPr="009333E6">
        <w:rPr>
          <w:rFonts w:ascii="Times New Roman" w:hAnsi="Times New Roman" w:cs="Times New Roman"/>
          <w:i w:val="0"/>
          <w:iCs w:val="0"/>
          <w:color w:val="auto"/>
          <w:sz w:val="22"/>
          <w:szCs w:val="22"/>
        </w:rPr>
        <w:t>, Kota Batu</w:t>
      </w:r>
    </w:p>
    <w:tbl>
      <w:tblPr>
        <w:tblW w:w="5100" w:type="pct"/>
        <w:tblLook w:val="04A0" w:firstRow="1" w:lastRow="0" w:firstColumn="1" w:lastColumn="0" w:noHBand="0" w:noVBand="1"/>
      </w:tblPr>
      <w:tblGrid>
        <w:gridCol w:w="936"/>
        <w:gridCol w:w="2298"/>
        <w:gridCol w:w="1012"/>
        <w:gridCol w:w="1591"/>
        <w:gridCol w:w="1392"/>
      </w:tblGrid>
      <w:tr w:rsidR="009333E6" w:rsidRPr="009333E6" w14:paraId="7C37890A" w14:textId="77777777" w:rsidTr="00D314F9">
        <w:trPr>
          <w:trHeight w:val="255"/>
          <w:tblHeader/>
        </w:trPr>
        <w:tc>
          <w:tcPr>
            <w:tcW w:w="699" w:type="pct"/>
            <w:tcBorders>
              <w:top w:val="single" w:sz="4" w:space="0" w:color="auto"/>
              <w:bottom w:val="single" w:sz="4" w:space="0" w:color="auto"/>
            </w:tcBorders>
            <w:shd w:val="clear" w:color="000000" w:fill="C0C0C0"/>
            <w:noWrap/>
            <w:vAlign w:val="bottom"/>
            <w:hideMark/>
          </w:tcPr>
          <w:p w14:paraId="4DF9DE3F" w14:textId="3CCA2C0C" w:rsidR="00D314F9" w:rsidRPr="009333E6" w:rsidRDefault="00DF5360" w:rsidP="002305DD">
            <w:pPr>
              <w:jc w:val="center"/>
              <w:rPr>
                <w:b/>
                <w:bCs/>
                <w:sz w:val="22"/>
                <w:szCs w:val="22"/>
                <w:lang w:val="id-ID" w:eastAsia="zh-CN"/>
              </w:rPr>
            </w:pPr>
            <w:r w:rsidRPr="009333E6">
              <w:rPr>
                <w:b/>
                <w:bCs/>
                <w:sz w:val="22"/>
                <w:szCs w:val="22"/>
                <w:lang w:eastAsia="zh-CN"/>
              </w:rPr>
              <w:t>Class</w:t>
            </w:r>
          </w:p>
        </w:tc>
        <w:tc>
          <w:tcPr>
            <w:tcW w:w="1641" w:type="pct"/>
            <w:tcBorders>
              <w:top w:val="single" w:sz="4" w:space="0" w:color="auto"/>
              <w:bottom w:val="single" w:sz="4" w:space="0" w:color="auto"/>
            </w:tcBorders>
            <w:shd w:val="clear" w:color="000000" w:fill="C0C0C0"/>
            <w:noWrap/>
            <w:vAlign w:val="bottom"/>
            <w:hideMark/>
          </w:tcPr>
          <w:p w14:paraId="05D00243" w14:textId="24C3E22B" w:rsidR="00D314F9" w:rsidRPr="009333E6" w:rsidRDefault="00165459" w:rsidP="002305DD">
            <w:pPr>
              <w:jc w:val="center"/>
              <w:rPr>
                <w:b/>
                <w:bCs/>
                <w:sz w:val="22"/>
                <w:szCs w:val="22"/>
                <w:lang w:val="id-ID" w:eastAsia="zh-CN"/>
              </w:rPr>
            </w:pPr>
            <w:r w:rsidRPr="009333E6">
              <w:rPr>
                <w:b/>
                <w:bCs/>
                <w:sz w:val="22"/>
                <w:szCs w:val="22"/>
                <w:lang w:val="id-ID" w:eastAsia="zh-CN"/>
              </w:rPr>
              <w:t>Dryness Index</w:t>
            </w:r>
          </w:p>
        </w:tc>
        <w:tc>
          <w:tcPr>
            <w:tcW w:w="752" w:type="pct"/>
            <w:tcBorders>
              <w:top w:val="single" w:sz="4" w:space="0" w:color="auto"/>
              <w:bottom w:val="single" w:sz="4" w:space="0" w:color="auto"/>
            </w:tcBorders>
            <w:shd w:val="clear" w:color="000000" w:fill="C0C0C0"/>
            <w:noWrap/>
            <w:vAlign w:val="bottom"/>
            <w:hideMark/>
          </w:tcPr>
          <w:p w14:paraId="17F382FC" w14:textId="77777777" w:rsidR="00D314F9" w:rsidRPr="009333E6" w:rsidRDefault="00D314F9" w:rsidP="002305DD">
            <w:pPr>
              <w:jc w:val="center"/>
              <w:rPr>
                <w:b/>
                <w:bCs/>
                <w:sz w:val="22"/>
                <w:szCs w:val="22"/>
                <w:lang w:eastAsia="zh-CN"/>
              </w:rPr>
            </w:pPr>
            <w:r w:rsidRPr="009333E6">
              <w:rPr>
                <w:b/>
                <w:bCs/>
                <w:sz w:val="22"/>
                <w:szCs w:val="22"/>
                <w:lang w:eastAsia="zh-CN"/>
              </w:rPr>
              <w:t>TDVI</w:t>
            </w:r>
          </w:p>
        </w:tc>
        <w:tc>
          <w:tcPr>
            <w:tcW w:w="893" w:type="pct"/>
            <w:tcBorders>
              <w:top w:val="single" w:sz="4" w:space="0" w:color="auto"/>
              <w:bottom w:val="single" w:sz="4" w:space="0" w:color="auto"/>
            </w:tcBorders>
            <w:shd w:val="clear" w:color="000000" w:fill="C0C0C0"/>
            <w:noWrap/>
            <w:vAlign w:val="center"/>
            <w:hideMark/>
          </w:tcPr>
          <w:p w14:paraId="73F4AB53" w14:textId="7A02A485" w:rsidR="00D314F9" w:rsidRPr="009333E6" w:rsidRDefault="00165459" w:rsidP="002305DD">
            <w:pPr>
              <w:jc w:val="center"/>
              <w:rPr>
                <w:b/>
                <w:bCs/>
                <w:sz w:val="22"/>
                <w:szCs w:val="22"/>
                <w:lang w:eastAsia="zh-CN"/>
              </w:rPr>
            </w:pPr>
            <w:r w:rsidRPr="009333E6">
              <w:rPr>
                <w:b/>
                <w:bCs/>
                <w:sz w:val="22"/>
                <w:szCs w:val="22"/>
                <w:lang w:val="id-ID" w:eastAsia="zh-CN"/>
              </w:rPr>
              <w:t>Coverage</w:t>
            </w:r>
            <w:r w:rsidR="00D314F9" w:rsidRPr="009333E6">
              <w:rPr>
                <w:b/>
                <w:bCs/>
                <w:sz w:val="22"/>
                <w:szCs w:val="22"/>
                <w:lang w:eastAsia="zh-CN"/>
              </w:rPr>
              <w:t xml:space="preserve"> (Ha) </w:t>
            </w:r>
          </w:p>
        </w:tc>
        <w:tc>
          <w:tcPr>
            <w:tcW w:w="1015" w:type="pct"/>
            <w:tcBorders>
              <w:top w:val="single" w:sz="4" w:space="0" w:color="auto"/>
              <w:bottom w:val="single" w:sz="4" w:space="0" w:color="auto"/>
            </w:tcBorders>
            <w:shd w:val="clear" w:color="000000" w:fill="C0C0C0"/>
            <w:noWrap/>
            <w:vAlign w:val="bottom"/>
            <w:hideMark/>
          </w:tcPr>
          <w:p w14:paraId="0C5D8EAF" w14:textId="6B7D60D9" w:rsidR="00D314F9" w:rsidRPr="009333E6" w:rsidRDefault="00D314F9" w:rsidP="002305DD">
            <w:pPr>
              <w:jc w:val="center"/>
              <w:rPr>
                <w:b/>
                <w:bCs/>
                <w:sz w:val="22"/>
                <w:szCs w:val="22"/>
                <w:lang w:val="id-ID" w:eastAsia="zh-CN"/>
              </w:rPr>
            </w:pPr>
            <w:r w:rsidRPr="009333E6">
              <w:rPr>
                <w:b/>
                <w:bCs/>
                <w:sz w:val="22"/>
                <w:szCs w:val="22"/>
                <w:lang w:eastAsia="zh-CN"/>
              </w:rPr>
              <w:t>Per</w:t>
            </w:r>
            <w:r w:rsidR="00165459" w:rsidRPr="009333E6">
              <w:rPr>
                <w:b/>
                <w:bCs/>
                <w:sz w:val="22"/>
                <w:szCs w:val="22"/>
                <w:lang w:val="id-ID" w:eastAsia="zh-CN"/>
              </w:rPr>
              <w:t>centage</w:t>
            </w:r>
          </w:p>
        </w:tc>
      </w:tr>
      <w:tr w:rsidR="009333E6" w:rsidRPr="009333E6" w14:paraId="60846FE3" w14:textId="77777777" w:rsidTr="00D314F9">
        <w:trPr>
          <w:trHeight w:val="255"/>
        </w:trPr>
        <w:tc>
          <w:tcPr>
            <w:tcW w:w="699" w:type="pct"/>
            <w:tcBorders>
              <w:top w:val="nil"/>
              <w:bottom w:val="single" w:sz="4" w:space="0" w:color="auto"/>
            </w:tcBorders>
            <w:shd w:val="clear" w:color="auto" w:fill="auto"/>
            <w:noWrap/>
            <w:vAlign w:val="bottom"/>
            <w:hideMark/>
          </w:tcPr>
          <w:p w14:paraId="7991510C" w14:textId="6BE77FD8"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1</w:t>
            </w:r>
          </w:p>
        </w:tc>
        <w:tc>
          <w:tcPr>
            <w:tcW w:w="1641" w:type="pct"/>
            <w:tcBorders>
              <w:top w:val="nil"/>
              <w:bottom w:val="single" w:sz="4" w:space="0" w:color="auto"/>
            </w:tcBorders>
            <w:shd w:val="clear" w:color="auto" w:fill="auto"/>
            <w:noWrap/>
            <w:vAlign w:val="bottom"/>
            <w:hideMark/>
          </w:tcPr>
          <w:p w14:paraId="56DF227C" w14:textId="7CAF1F4F" w:rsidR="00D314F9" w:rsidRPr="009333E6" w:rsidRDefault="00165459" w:rsidP="002305DD">
            <w:pPr>
              <w:jc w:val="center"/>
              <w:rPr>
                <w:sz w:val="22"/>
                <w:szCs w:val="22"/>
                <w:lang w:val="id-ID" w:eastAsia="zh-CN"/>
              </w:rPr>
            </w:pPr>
            <w:r w:rsidRPr="009333E6">
              <w:rPr>
                <w:sz w:val="22"/>
                <w:szCs w:val="22"/>
                <w:lang w:val="id-ID" w:eastAsia="zh-CN"/>
              </w:rPr>
              <w:t>Very Wet</w:t>
            </w:r>
          </w:p>
        </w:tc>
        <w:tc>
          <w:tcPr>
            <w:tcW w:w="752" w:type="pct"/>
            <w:tcBorders>
              <w:top w:val="nil"/>
              <w:bottom w:val="single" w:sz="4" w:space="0" w:color="auto"/>
            </w:tcBorders>
            <w:shd w:val="clear" w:color="auto" w:fill="auto"/>
            <w:noWrap/>
            <w:vAlign w:val="bottom"/>
            <w:hideMark/>
          </w:tcPr>
          <w:p w14:paraId="493AC2E4" w14:textId="77777777" w:rsidR="00D314F9" w:rsidRPr="009333E6" w:rsidRDefault="00D314F9" w:rsidP="002305DD">
            <w:pPr>
              <w:jc w:val="center"/>
              <w:rPr>
                <w:sz w:val="22"/>
                <w:szCs w:val="22"/>
                <w:lang w:eastAsia="zh-CN"/>
              </w:rPr>
            </w:pPr>
            <w:r w:rsidRPr="009333E6">
              <w:rPr>
                <w:sz w:val="22"/>
                <w:szCs w:val="22"/>
                <w:lang w:eastAsia="zh-CN"/>
              </w:rPr>
              <w:t>0 - 0.2</w:t>
            </w:r>
          </w:p>
        </w:tc>
        <w:tc>
          <w:tcPr>
            <w:tcW w:w="893" w:type="pct"/>
            <w:tcBorders>
              <w:top w:val="nil"/>
              <w:bottom w:val="single" w:sz="4" w:space="0" w:color="auto"/>
            </w:tcBorders>
            <w:shd w:val="clear" w:color="auto" w:fill="auto"/>
            <w:noWrap/>
            <w:vAlign w:val="center"/>
            <w:hideMark/>
          </w:tcPr>
          <w:p w14:paraId="6E53887B" w14:textId="77777777" w:rsidR="00D314F9" w:rsidRPr="009333E6" w:rsidRDefault="00D314F9" w:rsidP="002305DD">
            <w:pPr>
              <w:jc w:val="right"/>
              <w:rPr>
                <w:sz w:val="22"/>
                <w:szCs w:val="22"/>
                <w:lang w:eastAsia="zh-CN"/>
              </w:rPr>
            </w:pPr>
            <w:r w:rsidRPr="009333E6">
              <w:rPr>
                <w:sz w:val="22"/>
                <w:szCs w:val="22"/>
                <w:lang w:eastAsia="zh-CN"/>
              </w:rPr>
              <w:t>1333.49</w:t>
            </w:r>
          </w:p>
        </w:tc>
        <w:tc>
          <w:tcPr>
            <w:tcW w:w="1015" w:type="pct"/>
            <w:tcBorders>
              <w:top w:val="nil"/>
              <w:bottom w:val="single" w:sz="4" w:space="0" w:color="auto"/>
            </w:tcBorders>
            <w:shd w:val="clear" w:color="auto" w:fill="auto"/>
            <w:noWrap/>
            <w:vAlign w:val="center"/>
            <w:hideMark/>
          </w:tcPr>
          <w:p w14:paraId="15A7C6DB" w14:textId="77777777" w:rsidR="00D314F9" w:rsidRPr="009333E6" w:rsidRDefault="00D314F9" w:rsidP="002305DD">
            <w:pPr>
              <w:jc w:val="right"/>
              <w:rPr>
                <w:sz w:val="22"/>
                <w:szCs w:val="22"/>
                <w:lang w:eastAsia="zh-CN"/>
              </w:rPr>
            </w:pPr>
            <w:r w:rsidRPr="009333E6">
              <w:rPr>
                <w:sz w:val="22"/>
                <w:szCs w:val="22"/>
                <w:lang w:eastAsia="zh-CN"/>
              </w:rPr>
              <w:t>48%</w:t>
            </w:r>
          </w:p>
        </w:tc>
      </w:tr>
      <w:tr w:rsidR="009333E6" w:rsidRPr="009333E6" w14:paraId="747F0DA2" w14:textId="77777777" w:rsidTr="00D314F9">
        <w:trPr>
          <w:trHeight w:val="255"/>
        </w:trPr>
        <w:tc>
          <w:tcPr>
            <w:tcW w:w="699" w:type="pct"/>
            <w:tcBorders>
              <w:top w:val="nil"/>
              <w:bottom w:val="single" w:sz="4" w:space="0" w:color="auto"/>
            </w:tcBorders>
            <w:shd w:val="clear" w:color="auto" w:fill="auto"/>
            <w:noWrap/>
            <w:vAlign w:val="bottom"/>
            <w:hideMark/>
          </w:tcPr>
          <w:p w14:paraId="53C5375F" w14:textId="19075610"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2</w:t>
            </w:r>
          </w:p>
        </w:tc>
        <w:tc>
          <w:tcPr>
            <w:tcW w:w="1641" w:type="pct"/>
            <w:tcBorders>
              <w:top w:val="nil"/>
              <w:bottom w:val="single" w:sz="4" w:space="0" w:color="auto"/>
            </w:tcBorders>
            <w:shd w:val="clear" w:color="auto" w:fill="auto"/>
            <w:noWrap/>
            <w:vAlign w:val="bottom"/>
            <w:hideMark/>
          </w:tcPr>
          <w:p w14:paraId="4FEA2488" w14:textId="6C3737B5" w:rsidR="00D314F9" w:rsidRPr="009333E6" w:rsidRDefault="00165459" w:rsidP="002305DD">
            <w:pPr>
              <w:jc w:val="center"/>
              <w:rPr>
                <w:sz w:val="22"/>
                <w:szCs w:val="22"/>
                <w:lang w:val="id-ID" w:eastAsia="zh-CN"/>
              </w:rPr>
            </w:pPr>
            <w:r w:rsidRPr="009333E6">
              <w:rPr>
                <w:sz w:val="22"/>
                <w:szCs w:val="22"/>
                <w:lang w:val="id-ID" w:eastAsia="zh-CN"/>
              </w:rPr>
              <w:t>Wet</w:t>
            </w:r>
          </w:p>
        </w:tc>
        <w:tc>
          <w:tcPr>
            <w:tcW w:w="752" w:type="pct"/>
            <w:tcBorders>
              <w:top w:val="nil"/>
              <w:bottom w:val="single" w:sz="4" w:space="0" w:color="auto"/>
            </w:tcBorders>
            <w:shd w:val="clear" w:color="auto" w:fill="auto"/>
            <w:noWrap/>
            <w:vAlign w:val="bottom"/>
            <w:hideMark/>
          </w:tcPr>
          <w:p w14:paraId="64885A42" w14:textId="77777777" w:rsidR="00D314F9" w:rsidRPr="009333E6" w:rsidRDefault="00D314F9" w:rsidP="002305DD">
            <w:pPr>
              <w:jc w:val="center"/>
              <w:rPr>
                <w:sz w:val="22"/>
                <w:szCs w:val="22"/>
                <w:lang w:eastAsia="zh-CN"/>
              </w:rPr>
            </w:pPr>
            <w:r w:rsidRPr="009333E6">
              <w:rPr>
                <w:sz w:val="22"/>
                <w:szCs w:val="22"/>
                <w:lang w:eastAsia="zh-CN"/>
              </w:rPr>
              <w:t>0.2 - 0.4</w:t>
            </w:r>
          </w:p>
        </w:tc>
        <w:tc>
          <w:tcPr>
            <w:tcW w:w="893" w:type="pct"/>
            <w:tcBorders>
              <w:top w:val="nil"/>
              <w:bottom w:val="single" w:sz="4" w:space="0" w:color="auto"/>
            </w:tcBorders>
            <w:shd w:val="clear" w:color="auto" w:fill="auto"/>
            <w:noWrap/>
            <w:vAlign w:val="center"/>
            <w:hideMark/>
          </w:tcPr>
          <w:p w14:paraId="5DFB828C" w14:textId="77777777" w:rsidR="00D314F9" w:rsidRPr="009333E6" w:rsidRDefault="00D314F9" w:rsidP="002305DD">
            <w:pPr>
              <w:jc w:val="right"/>
              <w:rPr>
                <w:sz w:val="22"/>
                <w:szCs w:val="22"/>
                <w:lang w:eastAsia="zh-CN"/>
              </w:rPr>
            </w:pPr>
            <w:r w:rsidRPr="009333E6">
              <w:rPr>
                <w:sz w:val="22"/>
                <w:szCs w:val="22"/>
                <w:lang w:eastAsia="zh-CN"/>
              </w:rPr>
              <w:t>924.75</w:t>
            </w:r>
          </w:p>
        </w:tc>
        <w:tc>
          <w:tcPr>
            <w:tcW w:w="1015" w:type="pct"/>
            <w:tcBorders>
              <w:top w:val="nil"/>
              <w:bottom w:val="single" w:sz="4" w:space="0" w:color="auto"/>
            </w:tcBorders>
            <w:shd w:val="clear" w:color="auto" w:fill="auto"/>
            <w:noWrap/>
            <w:vAlign w:val="center"/>
            <w:hideMark/>
          </w:tcPr>
          <w:p w14:paraId="14CC1645" w14:textId="77777777" w:rsidR="00D314F9" w:rsidRPr="009333E6" w:rsidRDefault="00D314F9" w:rsidP="002305DD">
            <w:pPr>
              <w:jc w:val="right"/>
              <w:rPr>
                <w:sz w:val="22"/>
                <w:szCs w:val="22"/>
                <w:lang w:eastAsia="zh-CN"/>
              </w:rPr>
            </w:pPr>
            <w:r w:rsidRPr="009333E6">
              <w:rPr>
                <w:sz w:val="22"/>
                <w:szCs w:val="22"/>
                <w:lang w:eastAsia="zh-CN"/>
              </w:rPr>
              <w:t>33%</w:t>
            </w:r>
          </w:p>
        </w:tc>
      </w:tr>
      <w:tr w:rsidR="009333E6" w:rsidRPr="009333E6" w14:paraId="12B45AD8" w14:textId="77777777" w:rsidTr="00D314F9">
        <w:trPr>
          <w:trHeight w:val="255"/>
        </w:trPr>
        <w:tc>
          <w:tcPr>
            <w:tcW w:w="699" w:type="pct"/>
            <w:tcBorders>
              <w:top w:val="nil"/>
              <w:bottom w:val="single" w:sz="4" w:space="0" w:color="auto"/>
            </w:tcBorders>
            <w:shd w:val="clear" w:color="auto" w:fill="auto"/>
            <w:noWrap/>
            <w:vAlign w:val="bottom"/>
            <w:hideMark/>
          </w:tcPr>
          <w:p w14:paraId="493B0560" w14:textId="6CCBF28A"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3</w:t>
            </w:r>
          </w:p>
        </w:tc>
        <w:tc>
          <w:tcPr>
            <w:tcW w:w="1641" w:type="pct"/>
            <w:tcBorders>
              <w:top w:val="nil"/>
              <w:bottom w:val="single" w:sz="4" w:space="0" w:color="auto"/>
            </w:tcBorders>
            <w:shd w:val="clear" w:color="auto" w:fill="auto"/>
            <w:noWrap/>
            <w:vAlign w:val="bottom"/>
            <w:hideMark/>
          </w:tcPr>
          <w:p w14:paraId="784A01B9" w14:textId="77777777" w:rsidR="00D314F9" w:rsidRPr="009333E6" w:rsidRDefault="00D314F9" w:rsidP="002305DD">
            <w:pPr>
              <w:jc w:val="center"/>
              <w:rPr>
                <w:sz w:val="22"/>
                <w:szCs w:val="22"/>
                <w:lang w:eastAsia="zh-CN"/>
              </w:rPr>
            </w:pPr>
            <w:r w:rsidRPr="009333E6">
              <w:rPr>
                <w:sz w:val="22"/>
                <w:szCs w:val="22"/>
                <w:lang w:eastAsia="zh-CN"/>
              </w:rPr>
              <w:t>Normal</w:t>
            </w:r>
          </w:p>
        </w:tc>
        <w:tc>
          <w:tcPr>
            <w:tcW w:w="752" w:type="pct"/>
            <w:tcBorders>
              <w:top w:val="nil"/>
              <w:bottom w:val="single" w:sz="4" w:space="0" w:color="auto"/>
            </w:tcBorders>
            <w:shd w:val="clear" w:color="auto" w:fill="auto"/>
            <w:noWrap/>
            <w:vAlign w:val="bottom"/>
            <w:hideMark/>
          </w:tcPr>
          <w:p w14:paraId="4A310BD8" w14:textId="77777777" w:rsidR="00D314F9" w:rsidRPr="009333E6" w:rsidRDefault="00D314F9" w:rsidP="002305DD">
            <w:pPr>
              <w:jc w:val="center"/>
              <w:rPr>
                <w:sz w:val="22"/>
                <w:szCs w:val="22"/>
                <w:lang w:eastAsia="zh-CN"/>
              </w:rPr>
            </w:pPr>
            <w:r w:rsidRPr="009333E6">
              <w:rPr>
                <w:sz w:val="22"/>
                <w:szCs w:val="22"/>
                <w:lang w:eastAsia="zh-CN"/>
              </w:rPr>
              <w:t>0.4 - 0.6</w:t>
            </w:r>
          </w:p>
        </w:tc>
        <w:tc>
          <w:tcPr>
            <w:tcW w:w="893" w:type="pct"/>
            <w:tcBorders>
              <w:top w:val="nil"/>
              <w:bottom w:val="single" w:sz="4" w:space="0" w:color="auto"/>
            </w:tcBorders>
            <w:shd w:val="clear" w:color="auto" w:fill="auto"/>
            <w:noWrap/>
            <w:vAlign w:val="center"/>
            <w:hideMark/>
          </w:tcPr>
          <w:p w14:paraId="56A03E33" w14:textId="77777777" w:rsidR="00D314F9" w:rsidRPr="009333E6" w:rsidRDefault="00D314F9" w:rsidP="002305DD">
            <w:pPr>
              <w:jc w:val="right"/>
              <w:rPr>
                <w:sz w:val="22"/>
                <w:szCs w:val="22"/>
                <w:lang w:eastAsia="zh-CN"/>
              </w:rPr>
            </w:pPr>
            <w:r w:rsidRPr="009333E6">
              <w:rPr>
                <w:sz w:val="22"/>
                <w:szCs w:val="22"/>
                <w:lang w:eastAsia="zh-CN"/>
              </w:rPr>
              <w:t>447.06</w:t>
            </w:r>
          </w:p>
        </w:tc>
        <w:tc>
          <w:tcPr>
            <w:tcW w:w="1015" w:type="pct"/>
            <w:tcBorders>
              <w:top w:val="nil"/>
              <w:bottom w:val="single" w:sz="4" w:space="0" w:color="auto"/>
            </w:tcBorders>
            <w:shd w:val="clear" w:color="auto" w:fill="auto"/>
            <w:noWrap/>
            <w:vAlign w:val="center"/>
            <w:hideMark/>
          </w:tcPr>
          <w:p w14:paraId="5C7F1779" w14:textId="77777777" w:rsidR="00D314F9" w:rsidRPr="009333E6" w:rsidRDefault="00D314F9" w:rsidP="002305DD">
            <w:pPr>
              <w:jc w:val="right"/>
              <w:rPr>
                <w:sz w:val="22"/>
                <w:szCs w:val="22"/>
                <w:lang w:eastAsia="zh-CN"/>
              </w:rPr>
            </w:pPr>
            <w:r w:rsidRPr="009333E6">
              <w:rPr>
                <w:sz w:val="22"/>
                <w:szCs w:val="22"/>
                <w:lang w:eastAsia="zh-CN"/>
              </w:rPr>
              <w:t>16%</w:t>
            </w:r>
          </w:p>
        </w:tc>
      </w:tr>
      <w:tr w:rsidR="009333E6" w:rsidRPr="009333E6" w14:paraId="2451CA83" w14:textId="77777777" w:rsidTr="00D314F9">
        <w:trPr>
          <w:trHeight w:val="255"/>
        </w:trPr>
        <w:tc>
          <w:tcPr>
            <w:tcW w:w="699" w:type="pct"/>
            <w:tcBorders>
              <w:top w:val="nil"/>
              <w:bottom w:val="single" w:sz="4" w:space="0" w:color="auto"/>
            </w:tcBorders>
            <w:shd w:val="clear" w:color="auto" w:fill="auto"/>
            <w:noWrap/>
            <w:vAlign w:val="bottom"/>
            <w:hideMark/>
          </w:tcPr>
          <w:p w14:paraId="2C0DDACD" w14:textId="7DCA7CE4"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4</w:t>
            </w:r>
          </w:p>
        </w:tc>
        <w:tc>
          <w:tcPr>
            <w:tcW w:w="1641" w:type="pct"/>
            <w:tcBorders>
              <w:top w:val="nil"/>
              <w:bottom w:val="single" w:sz="4" w:space="0" w:color="auto"/>
            </w:tcBorders>
            <w:shd w:val="clear" w:color="auto" w:fill="auto"/>
            <w:noWrap/>
            <w:vAlign w:val="bottom"/>
            <w:hideMark/>
          </w:tcPr>
          <w:p w14:paraId="2A8FA525" w14:textId="6DC89CC5" w:rsidR="00D314F9" w:rsidRPr="009333E6" w:rsidRDefault="00165459" w:rsidP="002305DD">
            <w:pPr>
              <w:jc w:val="center"/>
              <w:rPr>
                <w:sz w:val="22"/>
                <w:szCs w:val="22"/>
                <w:lang w:val="id-ID" w:eastAsia="zh-CN"/>
              </w:rPr>
            </w:pPr>
            <w:r w:rsidRPr="009333E6">
              <w:rPr>
                <w:sz w:val="22"/>
                <w:szCs w:val="22"/>
                <w:lang w:val="id-ID" w:eastAsia="zh-CN"/>
              </w:rPr>
              <w:t>Dry</w:t>
            </w:r>
          </w:p>
        </w:tc>
        <w:tc>
          <w:tcPr>
            <w:tcW w:w="752" w:type="pct"/>
            <w:tcBorders>
              <w:top w:val="nil"/>
              <w:bottom w:val="single" w:sz="4" w:space="0" w:color="auto"/>
            </w:tcBorders>
            <w:shd w:val="clear" w:color="auto" w:fill="auto"/>
            <w:noWrap/>
            <w:vAlign w:val="bottom"/>
            <w:hideMark/>
          </w:tcPr>
          <w:p w14:paraId="63BF3888" w14:textId="77777777" w:rsidR="00D314F9" w:rsidRPr="009333E6" w:rsidRDefault="00D314F9" w:rsidP="002305DD">
            <w:pPr>
              <w:jc w:val="center"/>
              <w:rPr>
                <w:sz w:val="22"/>
                <w:szCs w:val="22"/>
                <w:lang w:eastAsia="zh-CN"/>
              </w:rPr>
            </w:pPr>
            <w:r w:rsidRPr="009333E6">
              <w:rPr>
                <w:sz w:val="22"/>
                <w:szCs w:val="22"/>
                <w:lang w:eastAsia="zh-CN"/>
              </w:rPr>
              <w:t>0.6 - 0.8</w:t>
            </w:r>
          </w:p>
        </w:tc>
        <w:tc>
          <w:tcPr>
            <w:tcW w:w="893" w:type="pct"/>
            <w:tcBorders>
              <w:top w:val="nil"/>
              <w:bottom w:val="single" w:sz="4" w:space="0" w:color="auto"/>
            </w:tcBorders>
            <w:shd w:val="clear" w:color="auto" w:fill="auto"/>
            <w:noWrap/>
            <w:vAlign w:val="center"/>
            <w:hideMark/>
          </w:tcPr>
          <w:p w14:paraId="39E8AD2C" w14:textId="77777777" w:rsidR="00D314F9" w:rsidRPr="009333E6" w:rsidRDefault="00D314F9" w:rsidP="002305DD">
            <w:pPr>
              <w:jc w:val="right"/>
              <w:rPr>
                <w:sz w:val="22"/>
                <w:szCs w:val="22"/>
                <w:lang w:eastAsia="zh-CN"/>
              </w:rPr>
            </w:pPr>
            <w:r w:rsidRPr="009333E6">
              <w:rPr>
                <w:sz w:val="22"/>
                <w:szCs w:val="22"/>
                <w:lang w:eastAsia="zh-CN"/>
              </w:rPr>
              <w:t>88.80</w:t>
            </w:r>
          </w:p>
        </w:tc>
        <w:tc>
          <w:tcPr>
            <w:tcW w:w="1015" w:type="pct"/>
            <w:tcBorders>
              <w:top w:val="nil"/>
              <w:bottom w:val="single" w:sz="4" w:space="0" w:color="auto"/>
            </w:tcBorders>
            <w:shd w:val="clear" w:color="auto" w:fill="auto"/>
            <w:noWrap/>
            <w:vAlign w:val="center"/>
            <w:hideMark/>
          </w:tcPr>
          <w:p w14:paraId="2E483CD0" w14:textId="77777777" w:rsidR="00D314F9" w:rsidRPr="009333E6" w:rsidRDefault="00D314F9" w:rsidP="002305DD">
            <w:pPr>
              <w:jc w:val="right"/>
              <w:rPr>
                <w:sz w:val="22"/>
                <w:szCs w:val="22"/>
                <w:lang w:eastAsia="zh-CN"/>
              </w:rPr>
            </w:pPr>
            <w:r w:rsidRPr="009333E6">
              <w:rPr>
                <w:sz w:val="22"/>
                <w:szCs w:val="22"/>
                <w:lang w:eastAsia="zh-CN"/>
              </w:rPr>
              <w:t>3%</w:t>
            </w:r>
          </w:p>
        </w:tc>
      </w:tr>
      <w:tr w:rsidR="009333E6" w:rsidRPr="009333E6" w14:paraId="584E6D4C" w14:textId="77777777" w:rsidTr="00D314F9">
        <w:trPr>
          <w:trHeight w:val="255"/>
        </w:trPr>
        <w:tc>
          <w:tcPr>
            <w:tcW w:w="699" w:type="pct"/>
            <w:tcBorders>
              <w:top w:val="nil"/>
              <w:bottom w:val="single" w:sz="4" w:space="0" w:color="auto"/>
            </w:tcBorders>
            <w:shd w:val="clear" w:color="auto" w:fill="auto"/>
            <w:noWrap/>
            <w:vAlign w:val="bottom"/>
            <w:hideMark/>
          </w:tcPr>
          <w:p w14:paraId="70D2B9FC" w14:textId="40312A34" w:rsidR="00D314F9" w:rsidRPr="009333E6" w:rsidRDefault="00DF5360" w:rsidP="002305DD">
            <w:pPr>
              <w:jc w:val="center"/>
              <w:rPr>
                <w:sz w:val="22"/>
                <w:szCs w:val="22"/>
                <w:lang w:eastAsia="zh-CN"/>
              </w:rPr>
            </w:pPr>
            <w:r w:rsidRPr="009333E6">
              <w:rPr>
                <w:sz w:val="22"/>
                <w:szCs w:val="22"/>
                <w:lang w:eastAsia="zh-CN"/>
              </w:rPr>
              <w:t>Class</w:t>
            </w:r>
            <w:r w:rsidR="00D314F9" w:rsidRPr="009333E6">
              <w:rPr>
                <w:sz w:val="22"/>
                <w:szCs w:val="22"/>
                <w:lang w:eastAsia="zh-CN"/>
              </w:rPr>
              <w:t xml:space="preserve"> 5</w:t>
            </w:r>
          </w:p>
        </w:tc>
        <w:tc>
          <w:tcPr>
            <w:tcW w:w="1641" w:type="pct"/>
            <w:tcBorders>
              <w:top w:val="nil"/>
              <w:bottom w:val="single" w:sz="4" w:space="0" w:color="auto"/>
            </w:tcBorders>
            <w:shd w:val="clear" w:color="auto" w:fill="auto"/>
            <w:noWrap/>
            <w:vAlign w:val="bottom"/>
            <w:hideMark/>
          </w:tcPr>
          <w:p w14:paraId="5F35F3CD" w14:textId="4439F288" w:rsidR="00D314F9" w:rsidRPr="009333E6" w:rsidRDefault="00165459" w:rsidP="002305DD">
            <w:pPr>
              <w:jc w:val="center"/>
              <w:rPr>
                <w:sz w:val="22"/>
                <w:szCs w:val="22"/>
                <w:lang w:val="id-ID" w:eastAsia="zh-CN"/>
              </w:rPr>
            </w:pPr>
            <w:r w:rsidRPr="009333E6">
              <w:rPr>
                <w:sz w:val="22"/>
                <w:szCs w:val="22"/>
                <w:lang w:val="id-ID" w:eastAsia="zh-CN"/>
              </w:rPr>
              <w:t>Very Dry</w:t>
            </w:r>
          </w:p>
        </w:tc>
        <w:tc>
          <w:tcPr>
            <w:tcW w:w="752" w:type="pct"/>
            <w:tcBorders>
              <w:top w:val="nil"/>
              <w:bottom w:val="single" w:sz="4" w:space="0" w:color="auto"/>
            </w:tcBorders>
            <w:shd w:val="clear" w:color="auto" w:fill="auto"/>
            <w:noWrap/>
            <w:vAlign w:val="bottom"/>
            <w:hideMark/>
          </w:tcPr>
          <w:p w14:paraId="33D6F809" w14:textId="77777777" w:rsidR="00D314F9" w:rsidRPr="009333E6" w:rsidRDefault="00D314F9" w:rsidP="002305DD">
            <w:pPr>
              <w:jc w:val="center"/>
              <w:rPr>
                <w:sz w:val="22"/>
                <w:szCs w:val="22"/>
                <w:lang w:eastAsia="zh-CN"/>
              </w:rPr>
            </w:pPr>
            <w:r w:rsidRPr="009333E6">
              <w:rPr>
                <w:sz w:val="22"/>
                <w:szCs w:val="22"/>
                <w:lang w:eastAsia="zh-CN"/>
              </w:rPr>
              <w:t>0.8 - 1.0</w:t>
            </w:r>
          </w:p>
        </w:tc>
        <w:tc>
          <w:tcPr>
            <w:tcW w:w="893" w:type="pct"/>
            <w:tcBorders>
              <w:top w:val="nil"/>
              <w:bottom w:val="single" w:sz="4" w:space="0" w:color="auto"/>
            </w:tcBorders>
            <w:shd w:val="clear" w:color="auto" w:fill="auto"/>
            <w:noWrap/>
            <w:vAlign w:val="center"/>
            <w:hideMark/>
          </w:tcPr>
          <w:p w14:paraId="58F62EB6" w14:textId="77777777" w:rsidR="00D314F9" w:rsidRPr="009333E6" w:rsidRDefault="00D314F9" w:rsidP="002305DD">
            <w:pPr>
              <w:jc w:val="right"/>
              <w:rPr>
                <w:sz w:val="22"/>
                <w:szCs w:val="22"/>
                <w:lang w:eastAsia="zh-CN"/>
              </w:rPr>
            </w:pPr>
            <w:r w:rsidRPr="009333E6">
              <w:rPr>
                <w:sz w:val="22"/>
                <w:szCs w:val="22"/>
                <w:lang w:eastAsia="zh-CN"/>
              </w:rPr>
              <w:t>0.00</w:t>
            </w:r>
          </w:p>
        </w:tc>
        <w:tc>
          <w:tcPr>
            <w:tcW w:w="1015" w:type="pct"/>
            <w:tcBorders>
              <w:top w:val="nil"/>
              <w:bottom w:val="single" w:sz="4" w:space="0" w:color="auto"/>
            </w:tcBorders>
            <w:shd w:val="clear" w:color="auto" w:fill="auto"/>
            <w:noWrap/>
            <w:vAlign w:val="center"/>
            <w:hideMark/>
          </w:tcPr>
          <w:p w14:paraId="776AD3DB" w14:textId="77777777" w:rsidR="00D314F9" w:rsidRPr="009333E6" w:rsidRDefault="00D314F9" w:rsidP="002305DD">
            <w:pPr>
              <w:jc w:val="right"/>
              <w:rPr>
                <w:sz w:val="22"/>
                <w:szCs w:val="22"/>
                <w:lang w:eastAsia="zh-CN"/>
              </w:rPr>
            </w:pPr>
            <w:r w:rsidRPr="009333E6">
              <w:rPr>
                <w:sz w:val="22"/>
                <w:szCs w:val="22"/>
                <w:lang w:eastAsia="zh-CN"/>
              </w:rPr>
              <w:t>-</w:t>
            </w:r>
          </w:p>
        </w:tc>
      </w:tr>
      <w:tr w:rsidR="009333E6" w:rsidRPr="009333E6" w14:paraId="1D5343D9" w14:textId="77777777" w:rsidTr="00D314F9">
        <w:trPr>
          <w:trHeight w:val="255"/>
        </w:trPr>
        <w:tc>
          <w:tcPr>
            <w:tcW w:w="3092" w:type="pct"/>
            <w:gridSpan w:val="3"/>
            <w:tcBorders>
              <w:top w:val="single" w:sz="4" w:space="0" w:color="auto"/>
              <w:bottom w:val="single" w:sz="4" w:space="0" w:color="auto"/>
            </w:tcBorders>
            <w:shd w:val="clear" w:color="auto" w:fill="auto"/>
            <w:noWrap/>
            <w:vAlign w:val="bottom"/>
            <w:hideMark/>
          </w:tcPr>
          <w:p w14:paraId="53C3D673" w14:textId="3102E077" w:rsidR="00D314F9" w:rsidRPr="009333E6" w:rsidRDefault="00165459" w:rsidP="002305DD">
            <w:pPr>
              <w:jc w:val="center"/>
              <w:rPr>
                <w:b/>
                <w:bCs/>
                <w:sz w:val="22"/>
                <w:szCs w:val="22"/>
                <w:lang w:val="id-ID" w:eastAsia="zh-CN"/>
              </w:rPr>
            </w:pPr>
            <w:r w:rsidRPr="009333E6">
              <w:rPr>
                <w:b/>
                <w:bCs/>
                <w:sz w:val="22"/>
                <w:szCs w:val="22"/>
                <w:lang w:val="id-ID" w:eastAsia="zh-CN"/>
              </w:rPr>
              <w:t>Total</w:t>
            </w:r>
          </w:p>
        </w:tc>
        <w:tc>
          <w:tcPr>
            <w:tcW w:w="893" w:type="pct"/>
            <w:tcBorders>
              <w:top w:val="nil"/>
              <w:bottom w:val="single" w:sz="4" w:space="0" w:color="auto"/>
            </w:tcBorders>
            <w:shd w:val="clear" w:color="auto" w:fill="auto"/>
            <w:noWrap/>
            <w:vAlign w:val="center"/>
            <w:hideMark/>
          </w:tcPr>
          <w:p w14:paraId="1B06CB74" w14:textId="77777777" w:rsidR="00D314F9" w:rsidRPr="009333E6" w:rsidRDefault="00D314F9" w:rsidP="002305DD">
            <w:pPr>
              <w:jc w:val="right"/>
              <w:rPr>
                <w:sz w:val="22"/>
                <w:szCs w:val="22"/>
                <w:lang w:eastAsia="zh-CN"/>
              </w:rPr>
            </w:pPr>
            <w:r w:rsidRPr="009333E6">
              <w:rPr>
                <w:sz w:val="22"/>
                <w:szCs w:val="22"/>
                <w:lang w:eastAsia="zh-CN"/>
              </w:rPr>
              <w:t>2794.10</w:t>
            </w:r>
          </w:p>
        </w:tc>
        <w:tc>
          <w:tcPr>
            <w:tcW w:w="1015" w:type="pct"/>
            <w:tcBorders>
              <w:top w:val="nil"/>
              <w:bottom w:val="single" w:sz="4" w:space="0" w:color="auto"/>
            </w:tcBorders>
            <w:shd w:val="clear" w:color="auto" w:fill="auto"/>
            <w:noWrap/>
            <w:vAlign w:val="center"/>
            <w:hideMark/>
          </w:tcPr>
          <w:p w14:paraId="6EB7D42A" w14:textId="77777777" w:rsidR="00D314F9" w:rsidRPr="009333E6" w:rsidRDefault="00D314F9" w:rsidP="002305DD">
            <w:pPr>
              <w:jc w:val="right"/>
              <w:rPr>
                <w:sz w:val="22"/>
                <w:szCs w:val="22"/>
                <w:lang w:eastAsia="zh-CN"/>
              </w:rPr>
            </w:pPr>
            <w:r w:rsidRPr="009333E6">
              <w:rPr>
                <w:sz w:val="22"/>
                <w:szCs w:val="22"/>
                <w:lang w:eastAsia="zh-CN"/>
              </w:rPr>
              <w:t>100%</w:t>
            </w:r>
          </w:p>
        </w:tc>
      </w:tr>
    </w:tbl>
    <w:p w14:paraId="7C7CB635" w14:textId="64D296CD" w:rsidR="00D314F9" w:rsidRPr="009333E6" w:rsidRDefault="00D314F9" w:rsidP="00D314F9">
      <w:pPr>
        <w:ind w:left="66"/>
        <w:jc w:val="both"/>
        <w:rPr>
          <w:sz w:val="22"/>
          <w:szCs w:val="22"/>
        </w:rPr>
      </w:pPr>
      <w:r w:rsidRPr="009333E6">
        <w:rPr>
          <w:sz w:val="22"/>
          <w:szCs w:val="22"/>
        </w:rPr>
        <w:t>S</w:t>
      </w:r>
      <w:r w:rsidR="00165459" w:rsidRPr="009333E6">
        <w:rPr>
          <w:sz w:val="22"/>
          <w:szCs w:val="22"/>
          <w:lang w:val="id-ID"/>
        </w:rPr>
        <w:t>ource</w:t>
      </w:r>
      <w:r w:rsidRPr="009333E6">
        <w:rPr>
          <w:sz w:val="22"/>
          <w:szCs w:val="22"/>
        </w:rPr>
        <w:t xml:space="preserve">: </w:t>
      </w:r>
      <w:r w:rsidR="00165459" w:rsidRPr="009333E6">
        <w:rPr>
          <w:sz w:val="22"/>
          <w:szCs w:val="22"/>
          <w:lang w:val="id-ID"/>
        </w:rPr>
        <w:t>Analytical Result</w:t>
      </w:r>
      <w:r w:rsidRPr="009333E6">
        <w:rPr>
          <w:sz w:val="22"/>
          <w:szCs w:val="22"/>
        </w:rPr>
        <w:t>, 2022</w:t>
      </w:r>
    </w:p>
    <w:p w14:paraId="05549D89" w14:textId="45016885" w:rsidR="00AC08DA" w:rsidRPr="009333E6" w:rsidRDefault="003E00BF" w:rsidP="00AC08DA">
      <w:pPr>
        <w:pStyle w:val="Heading1"/>
        <w:rPr>
          <w:rFonts w:cs="Times New Roman"/>
          <w:sz w:val="22"/>
          <w:szCs w:val="22"/>
        </w:rPr>
      </w:pPr>
      <w:r w:rsidRPr="009333E6">
        <w:rPr>
          <w:rFonts w:cs="Times New Roman"/>
          <w:sz w:val="22"/>
          <w:szCs w:val="22"/>
        </w:rPr>
        <w:t>Discussion</w:t>
      </w:r>
    </w:p>
    <w:p w14:paraId="7544725E" w14:textId="33D46BFB" w:rsidR="00D314F9" w:rsidRPr="009333E6" w:rsidRDefault="00165459" w:rsidP="00D314F9">
      <w:pPr>
        <w:jc w:val="both"/>
        <w:rPr>
          <w:sz w:val="22"/>
          <w:szCs w:val="22"/>
        </w:rPr>
      </w:pPr>
      <w:r w:rsidRPr="009333E6">
        <w:rPr>
          <w:sz w:val="22"/>
          <w:szCs w:val="22"/>
          <w:lang w:val="id-ID"/>
        </w:rPr>
        <w:t xml:space="preserve">The result of the study shows that most of the research related with agrotourism in the last few years indicating a shift in consumer preference from conventional tourism to agrotourism. Besides, earlier study about agrotourism development are focused on qualitative method, resulting in the shortcoming of this paper on methodology contribution. </w:t>
      </w:r>
    </w:p>
    <w:p w14:paraId="3CE1D5DE" w14:textId="77777777" w:rsidR="008F1C81" w:rsidRPr="009333E6" w:rsidRDefault="008F1C81" w:rsidP="00D314F9">
      <w:pPr>
        <w:jc w:val="both"/>
        <w:rPr>
          <w:sz w:val="22"/>
          <w:szCs w:val="22"/>
        </w:rPr>
      </w:pPr>
    </w:p>
    <w:p w14:paraId="5DE465F9" w14:textId="2A71AEE7" w:rsidR="00D314F9" w:rsidRPr="009333E6" w:rsidRDefault="00165459" w:rsidP="00D314F9">
      <w:pPr>
        <w:jc w:val="both"/>
        <w:rPr>
          <w:sz w:val="22"/>
          <w:szCs w:val="22"/>
          <w:shd w:val="clear" w:color="auto" w:fill="FFFFFF"/>
        </w:rPr>
      </w:pPr>
      <w:r w:rsidRPr="009333E6">
        <w:rPr>
          <w:sz w:val="22"/>
          <w:szCs w:val="22"/>
          <w:lang w:val="id-ID"/>
        </w:rPr>
        <w:t xml:space="preserve">The result of </w:t>
      </w:r>
      <w:r w:rsidR="00960B3D" w:rsidRPr="009333E6">
        <w:rPr>
          <w:sz w:val="22"/>
          <w:szCs w:val="22"/>
          <w:lang w:val="id-ID"/>
        </w:rPr>
        <w:t xml:space="preserve">the </w:t>
      </w:r>
      <w:r w:rsidRPr="009333E6">
        <w:rPr>
          <w:sz w:val="22"/>
          <w:szCs w:val="22"/>
          <w:lang w:val="id-ID"/>
        </w:rPr>
        <w:t xml:space="preserve">analysis in Batu City shows that agrotourism could be promoted as one of the alternative on environment sustainability. In this research 3 (three) village with agrotourism potential are chosen as a subject of case study </w:t>
      </w:r>
      <w:r w:rsidR="00960B3D" w:rsidRPr="009333E6">
        <w:rPr>
          <w:sz w:val="22"/>
          <w:szCs w:val="22"/>
          <w:lang w:val="id-ID"/>
        </w:rPr>
        <w:t xml:space="preserve">in order to be given a rating towards agrotourism’s role on environment sustainability. </w:t>
      </w:r>
      <w:r w:rsidR="00960B3D" w:rsidRPr="009333E6">
        <w:rPr>
          <w:sz w:val="22"/>
          <w:szCs w:val="22"/>
          <w:shd w:val="clear" w:color="auto" w:fill="FFFFFF"/>
          <w:lang w:val="id-ID"/>
        </w:rPr>
        <w:t xml:space="preserve">In general, environment continuity on the potential tourism site could be measured through dryness index which has an impact on water crisis for the locals where drought as a normal climate feature and recurring phenomena has a consequence </w:t>
      </w:r>
      <w:r w:rsidR="00960B3D" w:rsidRPr="009333E6">
        <w:rPr>
          <w:sz w:val="22"/>
          <w:szCs w:val="22"/>
          <w:shd w:val="clear" w:color="auto" w:fill="FFFFFF"/>
          <w:lang w:val="id-ID"/>
        </w:rPr>
        <w:lastRenderedPageBreak/>
        <w:t xml:space="preserve">towards the decreasing of rainfall or temperature in a long period of time. On many cases, an escalation of drought phenomena are positively corelated on vegetation in most of the region </w:t>
      </w:r>
      <w:r w:rsidR="00D314F9" w:rsidRPr="009333E6">
        <w:rPr>
          <w:sz w:val="22"/>
          <w:szCs w:val="22"/>
          <w:shd w:val="clear" w:color="auto" w:fill="FFFFFF"/>
        </w:rPr>
        <w:fldChar w:fldCharType="begin" w:fldLock="1"/>
      </w:r>
      <w:r w:rsidR="009333E6" w:rsidRPr="009333E6">
        <w:rPr>
          <w:sz w:val="22"/>
          <w:szCs w:val="22"/>
          <w:shd w:val="clear" w:color="auto" w:fill="FFFFFF"/>
        </w:rPr>
        <w:instrText>ADDIN CSL_CITATION {"citationItems":[{"id":"ITEM-1","itemData":{"DOI":"10.1016/J.JAG.2010.10.005","ISSN":"1569-8432","abstract":"This paper presents a new drought assessment method by spatially and temporally integrating temperature vegetation dryness index (TVDI) with regional water stress index (RWSI) based on a synergistic approach. With the aid of LANDSAT TM/ETM data, we were able to retrieve the land-use and land-cover (LULC), vegetation indices (VIs), and land surface temperature (LST), leading to the derivation of three types of modified TVDI, including TVDI SAVI, TVDI ANDVI and TVDI MSAVI, for drought assessment in a fast growing coastal area, Northern China. The categorical classification of four drought impact levels associated with the RWSI values enables us to refine the spatiotemporal relationship between the LST and the VIs. Holistic drought impact assessment between 1987 and 2000 was carried out by linking RWSI with TVDIs group wise. Research findings indicate that: (1) LST and VIs were negatively correlated in most cases of low, medium, and high vegetation cover except the case of high density vegetation cover in 2000 due to the effect of urban heat island (UHI) effect; (2) the shortage of water in 1987 was more salient than that that in 2000 based on all indices of TVDI and RWSI; and (3) TVDIs are more suitable for monitoring mild drought, normal and wet conditions when RWSI is smaller than 0.752; but they are not suitable for monitoring moderate and severe drought conditions. © 2010 Published by Elsevier B.V.","author":[{"dropping-particle":"","family":"Gao","given":"Zhiqiang","non-dropping-particle":"","parse-names":false,"suffix":""},{"dropping-particle":"","family":"Gao","given":"Wei","non-dropping-particle":"","parse-names":false,"suffix":""},{"dropping-particle":"Bin","family":"Chang","given":"Ni","non-dropping-particle":"","parse-names":false,"suffix":""}],"container-title":"International Journal of Applied Earth Observation and Geoinformation","id":"ITEM-1","issue":"3","issued":{"date-parts":[["2011","6","1"]]},"page":"495-503","publisher":"Elsevier","title":"Integrating temperature vegetation dryness index (TVDI) and regional water stress index (RWSI) for drought assessment with the aid of LANDSAT TM/ETM+ images","type":"article-journal","volume":"13"},"uris":["http://www.mendeley.com/documents/?uuid=27100850-4233-3aa6-8df3-8e9885ce45ed"]},{"id":"ITEM-2","itemData":{"DOI":"10.3390/IJERPH19074180","ISSN":"16604601","PMID":"35409863","abstract":"The frequency and intensity of droughts are increasing in many parts of the world as a result of global climate change and human activity, posing a serious threat to regional ecological security. The climate in the middle reaches of the Yellow River Basin (MRYRB) has been warm and dry in recent years, with frequent droughts. In order to investigate the temporal trend of drought, and reveal the resistance of vegetation to drought in the MRYRB, this study used remotely-sensed vegetation index products (MODIS-NDVI and SPOT-NDVI) and the standardized precipitation evapotranspiration index (SPEI). The results indicated that: (1) drought intensity showed a weak upward trend in the study area from 2000 to 2018, with linear growth rates of SPEI at temporal scales of 1, 3, 6, 9 and 12 months of −0.002, 0.0034, 0.0198, 0.0234, and 0.0249, respectively; (2) drought was positively correlated with vegetation in most areas (97.6%), and vegetation was most affected by drought on long-term time scales (9 and 12 months); (3) with the extension of drought, vegetation resistance index decreased, then gradually recovered after the end of the drought. Forest had the longest resistance duration of 260 days, while grassland and cultivated land had resistance durations of only 170 days. This study adds to the understanding of vegetation’s ability to withstand drought, and these findings provide evidence to support drought response in the MRYRB.","author":[{"dropping-particle":"","family":"Shi","given":"Xiaoliang","non-dropping-particle":"","parse-names":false,"suffix":""},{"dropping-particle":"","family":"Chen","given":"Fei","non-dropping-particle":"","parse-names":false,"suffix":""},{"dropping-particle":"","family":"Ding","given":"Hao","non-dropping-particle":"","parse-names":false,"suffix":""},{"dropping-particle":"","family":"Shi","given":"Mengqi","non-dropping-particle":"","parse-names":false,"suffix":""},{"dropping-particle":"","family":"Li","given":"Yi","non-dropping-particle":"","parse-names":false,"suffix":""}],"container-title":"International Journal of Environmental Research and Public Health","id":"ITEM-2","issue":"7","issued":{"date-parts":[["2022","4","1"]]},"publisher":"Multidisciplinary Digital Publishing Institute  (MDPI)","title":"Assessing Vegetation Ecosystem Resistance to Drought in the Middle Reaches of the Yellow River Basin, China","type":"article-journal","volume":"19"},"uris":["http://www.mendeley.com/documents/?uuid=fe6d21bf-8ea0-3202-a337-a522c2baf99a"]}],"mendeley":{"formattedCitation":"[15], [16]","plainTextFormattedCitation":"[15], [16]","previouslyFormattedCitation":"[15], [16]"},"properties":{"noteIndex":0},"schema":"https://github.com/citation-style-language/schema/raw/master/csl-citation.json"}</w:instrText>
      </w:r>
      <w:r w:rsidR="00D314F9" w:rsidRPr="009333E6">
        <w:rPr>
          <w:sz w:val="22"/>
          <w:szCs w:val="22"/>
          <w:shd w:val="clear" w:color="auto" w:fill="FFFFFF"/>
        </w:rPr>
        <w:fldChar w:fldCharType="separate"/>
      </w:r>
      <w:r w:rsidR="009333E6" w:rsidRPr="009333E6">
        <w:rPr>
          <w:noProof/>
          <w:sz w:val="22"/>
          <w:szCs w:val="22"/>
          <w:shd w:val="clear" w:color="auto" w:fill="FFFFFF"/>
        </w:rPr>
        <w:t>[15], [16]</w:t>
      </w:r>
      <w:r w:rsidR="00D314F9" w:rsidRPr="009333E6">
        <w:rPr>
          <w:sz w:val="22"/>
          <w:szCs w:val="22"/>
          <w:shd w:val="clear" w:color="auto" w:fill="FFFFFF"/>
        </w:rPr>
        <w:fldChar w:fldCharType="end"/>
      </w:r>
      <w:r w:rsidR="00D314F9" w:rsidRPr="009333E6">
        <w:rPr>
          <w:sz w:val="22"/>
          <w:szCs w:val="22"/>
          <w:shd w:val="clear" w:color="auto" w:fill="FFFFFF"/>
        </w:rPr>
        <w:t>.</w:t>
      </w:r>
      <w:r w:rsidR="00960B3D" w:rsidRPr="009333E6">
        <w:rPr>
          <w:sz w:val="22"/>
          <w:szCs w:val="22"/>
          <w:shd w:val="clear" w:color="auto" w:fill="FFFFFF"/>
          <w:lang w:val="id-ID"/>
        </w:rPr>
        <w:t xml:space="preserve"> This study adds an understanding about vegetation ability on withhold drought and from this research findings </w:t>
      </w:r>
      <w:r w:rsidR="00064259" w:rsidRPr="009333E6">
        <w:rPr>
          <w:sz w:val="22"/>
          <w:szCs w:val="22"/>
          <w:shd w:val="clear" w:color="auto" w:fill="FFFFFF"/>
          <w:lang w:val="id-ID"/>
        </w:rPr>
        <w:t>give an evidence to support the response towards drought threat as a result of the increasing activity of tourism.</w:t>
      </w:r>
      <w:r w:rsidR="00D314F9" w:rsidRPr="009333E6">
        <w:rPr>
          <w:sz w:val="22"/>
          <w:szCs w:val="22"/>
          <w:shd w:val="clear" w:color="auto" w:fill="FFFFFF"/>
        </w:rPr>
        <w:t xml:space="preserve"> </w:t>
      </w:r>
    </w:p>
    <w:p w14:paraId="705022D0" w14:textId="77777777" w:rsidR="008F1C81" w:rsidRPr="009333E6" w:rsidRDefault="008F1C81" w:rsidP="00D314F9">
      <w:pPr>
        <w:jc w:val="both"/>
        <w:rPr>
          <w:sz w:val="22"/>
          <w:szCs w:val="22"/>
          <w:shd w:val="clear" w:color="auto" w:fill="FFFFFF"/>
        </w:rPr>
      </w:pPr>
    </w:p>
    <w:p w14:paraId="1E28FBF8" w14:textId="4C3BF04A" w:rsidR="00D314F9" w:rsidRPr="009333E6" w:rsidRDefault="00064259" w:rsidP="00D314F9">
      <w:pPr>
        <w:jc w:val="both"/>
        <w:rPr>
          <w:sz w:val="22"/>
          <w:szCs w:val="22"/>
          <w:shd w:val="clear" w:color="auto" w:fill="FFFFFF"/>
        </w:rPr>
      </w:pPr>
      <w:r w:rsidRPr="009333E6">
        <w:rPr>
          <w:sz w:val="22"/>
          <w:szCs w:val="22"/>
          <w:shd w:val="clear" w:color="auto" w:fill="FFFFFF"/>
          <w:lang w:val="id-ID"/>
        </w:rPr>
        <w:t xml:space="preserve">In this research, vegetation index are divided into 5 (Five) category, which is High Vegetation, Medium Vegetation, Very Low Vegetation, Low Vegetation, and Non Vegetation. The higher the vegetation indeks has a positive correlation towards the ability to minimize drought risks. </w:t>
      </w:r>
    </w:p>
    <w:p w14:paraId="25570BE6" w14:textId="3B0332F9" w:rsidR="00D314F9" w:rsidRPr="009333E6" w:rsidRDefault="00D314F9" w:rsidP="00D314F9">
      <w:pPr>
        <w:pStyle w:val="Caption"/>
        <w:jc w:val="center"/>
        <w:rPr>
          <w:rFonts w:ascii="Times New Roman" w:hAnsi="Times New Roman" w:cs="Times New Roman"/>
          <w:b/>
          <w:bCs/>
          <w:i w:val="0"/>
          <w:iCs w:val="0"/>
          <w:color w:val="auto"/>
          <w:sz w:val="22"/>
          <w:szCs w:val="22"/>
        </w:rPr>
      </w:pPr>
      <w:r w:rsidRPr="009333E6">
        <w:rPr>
          <w:rFonts w:ascii="Times New Roman" w:hAnsi="Times New Roman" w:cs="Times New Roman"/>
          <w:noProof/>
          <w:color w:val="auto"/>
          <w:sz w:val="22"/>
          <w:szCs w:val="22"/>
        </w:rPr>
        <w:drawing>
          <wp:inline distT="0" distB="0" distL="0" distR="0" wp14:anchorId="6DD17602" wp14:editId="190BFDEA">
            <wp:extent cx="1495590" cy="1935480"/>
            <wp:effectExtent l="0" t="0" r="9525" b="762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028" cy="1961930"/>
                    </a:xfrm>
                    <a:prstGeom prst="rect">
                      <a:avLst/>
                    </a:prstGeom>
                    <a:noFill/>
                    <a:ln>
                      <a:noFill/>
                    </a:ln>
                  </pic:spPr>
                </pic:pic>
              </a:graphicData>
            </a:graphic>
          </wp:inline>
        </w:drawing>
      </w:r>
      <w:r w:rsidRPr="009333E6">
        <w:rPr>
          <w:rFonts w:ascii="Times New Roman" w:hAnsi="Times New Roman" w:cs="Times New Roman"/>
          <w:noProof/>
          <w:color w:val="auto"/>
          <w:sz w:val="22"/>
          <w:szCs w:val="22"/>
        </w:rPr>
        <w:drawing>
          <wp:inline distT="0" distB="0" distL="0" distR="0" wp14:anchorId="4E6B0F05" wp14:editId="1D16B6C0">
            <wp:extent cx="1539240" cy="1991968"/>
            <wp:effectExtent l="0" t="0" r="3810" b="889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471" cy="2037562"/>
                    </a:xfrm>
                    <a:prstGeom prst="rect">
                      <a:avLst/>
                    </a:prstGeom>
                    <a:noFill/>
                    <a:ln>
                      <a:noFill/>
                    </a:ln>
                  </pic:spPr>
                </pic:pic>
              </a:graphicData>
            </a:graphic>
          </wp:inline>
        </w:drawing>
      </w:r>
      <w:r w:rsidRPr="009333E6">
        <w:rPr>
          <w:rFonts w:ascii="Times New Roman" w:hAnsi="Times New Roman" w:cs="Times New Roman"/>
          <w:b/>
          <w:bCs/>
          <w:i w:val="0"/>
          <w:iCs w:val="0"/>
          <w:color w:val="auto"/>
          <w:sz w:val="22"/>
          <w:szCs w:val="22"/>
        </w:rPr>
        <w:br/>
        <w:t xml:space="preserve">(a)                                                  </w:t>
      </w:r>
      <w:proofErr w:type="gramStart"/>
      <w:r w:rsidRPr="009333E6">
        <w:rPr>
          <w:rFonts w:ascii="Times New Roman" w:hAnsi="Times New Roman" w:cs="Times New Roman"/>
          <w:b/>
          <w:bCs/>
          <w:i w:val="0"/>
          <w:iCs w:val="0"/>
          <w:color w:val="auto"/>
          <w:sz w:val="22"/>
          <w:szCs w:val="22"/>
        </w:rPr>
        <w:t xml:space="preserve">   (</w:t>
      </w:r>
      <w:proofErr w:type="gramEnd"/>
      <w:r w:rsidRPr="009333E6">
        <w:rPr>
          <w:rFonts w:ascii="Times New Roman" w:hAnsi="Times New Roman" w:cs="Times New Roman"/>
          <w:b/>
          <w:bCs/>
          <w:i w:val="0"/>
          <w:iCs w:val="0"/>
          <w:color w:val="auto"/>
          <w:sz w:val="22"/>
          <w:szCs w:val="22"/>
        </w:rPr>
        <w:t>b)</w:t>
      </w:r>
    </w:p>
    <w:p w14:paraId="17702FE1" w14:textId="7362F45E" w:rsidR="00D314F9" w:rsidRPr="009333E6" w:rsidRDefault="00D314F9" w:rsidP="00D314F9">
      <w:pPr>
        <w:pStyle w:val="Caption"/>
        <w:jc w:val="center"/>
        <w:rPr>
          <w:rFonts w:ascii="Times New Roman" w:hAnsi="Times New Roman" w:cs="Times New Roman"/>
          <w:i w:val="0"/>
          <w:iCs w:val="0"/>
          <w:color w:val="auto"/>
          <w:sz w:val="22"/>
          <w:szCs w:val="22"/>
        </w:rPr>
      </w:pPr>
      <w:r w:rsidRPr="009333E6">
        <w:rPr>
          <w:rFonts w:ascii="Times New Roman" w:hAnsi="Times New Roman" w:cs="Times New Roman"/>
          <w:noProof/>
          <w:color w:val="auto"/>
          <w:sz w:val="22"/>
          <w:szCs w:val="22"/>
        </w:rPr>
        <w:drawing>
          <wp:inline distT="0" distB="0" distL="0" distR="0" wp14:anchorId="41B4B1C8" wp14:editId="3423912C">
            <wp:extent cx="1699260" cy="2199052"/>
            <wp:effectExtent l="0" t="0" r="0" b="0"/>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9574" cy="2238282"/>
                    </a:xfrm>
                    <a:prstGeom prst="rect">
                      <a:avLst/>
                    </a:prstGeom>
                    <a:noFill/>
                    <a:ln>
                      <a:noFill/>
                    </a:ln>
                  </pic:spPr>
                </pic:pic>
              </a:graphicData>
            </a:graphic>
          </wp:inline>
        </w:drawing>
      </w:r>
      <w:r w:rsidRPr="009333E6">
        <w:rPr>
          <w:rFonts w:ascii="Times New Roman" w:hAnsi="Times New Roman" w:cs="Times New Roman"/>
          <w:b/>
          <w:bCs/>
          <w:i w:val="0"/>
          <w:iCs w:val="0"/>
          <w:color w:val="auto"/>
          <w:sz w:val="22"/>
          <w:szCs w:val="22"/>
        </w:rPr>
        <w:br/>
      </w:r>
      <w:r w:rsidR="009333E6" w:rsidRPr="009333E6">
        <w:rPr>
          <w:rFonts w:ascii="Times New Roman" w:hAnsi="Times New Roman" w:cs="Times New Roman"/>
          <w:b/>
          <w:bCs/>
          <w:i w:val="0"/>
          <w:iCs w:val="0"/>
          <w:color w:val="auto"/>
          <w:sz w:val="22"/>
          <w:szCs w:val="22"/>
        </w:rPr>
        <w:t>Figure</w:t>
      </w:r>
      <w:r w:rsidRPr="009333E6">
        <w:rPr>
          <w:rFonts w:ascii="Times New Roman" w:hAnsi="Times New Roman" w:cs="Times New Roman"/>
          <w:b/>
          <w:bCs/>
          <w:i w:val="0"/>
          <w:iCs w:val="0"/>
          <w:color w:val="auto"/>
          <w:sz w:val="22"/>
          <w:szCs w:val="22"/>
        </w:rPr>
        <w:t xml:space="preserve"> </w:t>
      </w:r>
      <w:r w:rsidRPr="009333E6">
        <w:rPr>
          <w:rFonts w:ascii="Times New Roman" w:hAnsi="Times New Roman" w:cs="Times New Roman"/>
          <w:b/>
          <w:bCs/>
          <w:i w:val="0"/>
          <w:iCs w:val="0"/>
          <w:color w:val="auto"/>
          <w:sz w:val="22"/>
          <w:szCs w:val="22"/>
        </w:rPr>
        <w:fldChar w:fldCharType="begin"/>
      </w:r>
      <w:r w:rsidRPr="009333E6">
        <w:rPr>
          <w:rFonts w:ascii="Times New Roman" w:hAnsi="Times New Roman" w:cs="Times New Roman"/>
          <w:b/>
          <w:bCs/>
          <w:i w:val="0"/>
          <w:iCs w:val="0"/>
          <w:color w:val="auto"/>
          <w:sz w:val="22"/>
          <w:szCs w:val="22"/>
        </w:rPr>
        <w:instrText xml:space="preserve"> SEQ Gambar \* ARABIC </w:instrText>
      </w:r>
      <w:r w:rsidRPr="009333E6">
        <w:rPr>
          <w:rFonts w:ascii="Times New Roman" w:hAnsi="Times New Roman" w:cs="Times New Roman"/>
          <w:b/>
          <w:bCs/>
          <w:i w:val="0"/>
          <w:iCs w:val="0"/>
          <w:color w:val="auto"/>
          <w:sz w:val="22"/>
          <w:szCs w:val="22"/>
        </w:rPr>
        <w:fldChar w:fldCharType="separate"/>
      </w:r>
      <w:r w:rsidR="00FE0125">
        <w:rPr>
          <w:rFonts w:ascii="Times New Roman" w:hAnsi="Times New Roman" w:cs="Times New Roman"/>
          <w:b/>
          <w:bCs/>
          <w:i w:val="0"/>
          <w:iCs w:val="0"/>
          <w:noProof/>
          <w:color w:val="auto"/>
          <w:sz w:val="22"/>
          <w:szCs w:val="22"/>
        </w:rPr>
        <w:t>1</w:t>
      </w:r>
      <w:r w:rsidRPr="009333E6">
        <w:rPr>
          <w:rFonts w:ascii="Times New Roman" w:hAnsi="Times New Roman" w:cs="Times New Roman"/>
          <w:b/>
          <w:bCs/>
          <w:i w:val="0"/>
          <w:iCs w:val="0"/>
          <w:color w:val="auto"/>
          <w:sz w:val="22"/>
          <w:szCs w:val="22"/>
        </w:rPr>
        <w:fldChar w:fldCharType="end"/>
      </w:r>
      <w:r w:rsidRPr="009333E6">
        <w:rPr>
          <w:rFonts w:ascii="Times New Roman" w:hAnsi="Times New Roman" w:cs="Times New Roman"/>
          <w:b/>
          <w:bCs/>
          <w:i w:val="0"/>
          <w:iCs w:val="0"/>
          <w:color w:val="auto"/>
          <w:sz w:val="22"/>
          <w:szCs w:val="22"/>
        </w:rPr>
        <w:t xml:space="preserve"> </w:t>
      </w:r>
      <w:r w:rsidR="00064259" w:rsidRPr="009333E6">
        <w:rPr>
          <w:rFonts w:ascii="Times New Roman" w:hAnsi="Times New Roman" w:cs="Times New Roman"/>
          <w:i w:val="0"/>
          <w:iCs w:val="0"/>
          <w:color w:val="auto"/>
          <w:sz w:val="22"/>
          <w:szCs w:val="22"/>
          <w:lang w:val="id-ID"/>
        </w:rPr>
        <w:t>Map Analysis</w:t>
      </w:r>
      <w:r w:rsidRPr="009333E6">
        <w:rPr>
          <w:rFonts w:ascii="Times New Roman" w:hAnsi="Times New Roman" w:cs="Times New Roman"/>
          <w:i w:val="0"/>
          <w:iCs w:val="0"/>
          <w:color w:val="auto"/>
          <w:sz w:val="22"/>
          <w:szCs w:val="22"/>
        </w:rPr>
        <w:t xml:space="preserve"> </w:t>
      </w:r>
      <w:r w:rsidRPr="009333E6">
        <w:rPr>
          <w:rFonts w:ascii="Times New Roman" w:hAnsi="Times New Roman" w:cs="Times New Roman"/>
          <w:color w:val="auto"/>
          <w:sz w:val="22"/>
          <w:szCs w:val="22"/>
        </w:rPr>
        <w:t>Temperature Vegetation Dryness Index</w:t>
      </w:r>
      <w:r w:rsidRPr="009333E6">
        <w:rPr>
          <w:rFonts w:ascii="Times New Roman" w:hAnsi="Times New Roman" w:cs="Times New Roman"/>
          <w:i w:val="0"/>
          <w:iCs w:val="0"/>
          <w:color w:val="auto"/>
          <w:sz w:val="22"/>
          <w:szCs w:val="22"/>
        </w:rPr>
        <w:t xml:space="preserve"> </w:t>
      </w:r>
      <w:r w:rsidRPr="009333E6">
        <w:rPr>
          <w:rFonts w:ascii="Times New Roman" w:hAnsi="Times New Roman" w:cs="Times New Roman"/>
          <w:i w:val="0"/>
          <w:iCs w:val="0"/>
          <w:color w:val="auto"/>
          <w:sz w:val="22"/>
          <w:szCs w:val="22"/>
        </w:rPr>
        <w:br/>
      </w:r>
      <w:r w:rsidR="00064259" w:rsidRPr="009333E6">
        <w:rPr>
          <w:rFonts w:ascii="Times New Roman" w:hAnsi="Times New Roman" w:cs="Times New Roman"/>
          <w:i w:val="0"/>
          <w:iCs w:val="0"/>
          <w:color w:val="auto"/>
          <w:sz w:val="22"/>
          <w:szCs w:val="22"/>
          <w:lang w:val="id-ID"/>
        </w:rPr>
        <w:t>Batu City</w:t>
      </w:r>
      <w:r w:rsidRPr="009333E6">
        <w:rPr>
          <w:rFonts w:ascii="Times New Roman" w:hAnsi="Times New Roman" w:cs="Times New Roman"/>
          <w:i w:val="0"/>
          <w:iCs w:val="0"/>
          <w:color w:val="auto"/>
          <w:sz w:val="22"/>
          <w:szCs w:val="22"/>
        </w:rPr>
        <w:t xml:space="preserve">, </w:t>
      </w:r>
      <w:r w:rsidR="00064259" w:rsidRPr="009333E6">
        <w:rPr>
          <w:rFonts w:ascii="Times New Roman" w:hAnsi="Times New Roman" w:cs="Times New Roman"/>
          <w:i w:val="0"/>
          <w:iCs w:val="0"/>
          <w:color w:val="auto"/>
          <w:sz w:val="22"/>
          <w:szCs w:val="22"/>
          <w:lang w:val="id-ID"/>
        </w:rPr>
        <w:t>East Java</w:t>
      </w:r>
      <w:r w:rsidRPr="009333E6">
        <w:rPr>
          <w:rFonts w:ascii="Times New Roman" w:hAnsi="Times New Roman" w:cs="Times New Roman"/>
          <w:i w:val="0"/>
          <w:iCs w:val="0"/>
          <w:color w:val="auto"/>
          <w:sz w:val="22"/>
          <w:szCs w:val="22"/>
        </w:rPr>
        <w:br/>
      </w:r>
      <w:r w:rsidR="00064259" w:rsidRPr="009333E6">
        <w:rPr>
          <w:rFonts w:ascii="Times New Roman" w:hAnsi="Times New Roman" w:cs="Times New Roman"/>
          <w:i w:val="0"/>
          <w:iCs w:val="0"/>
          <w:color w:val="auto"/>
          <w:sz w:val="22"/>
          <w:szCs w:val="22"/>
          <w:lang w:val="id-ID"/>
        </w:rPr>
        <w:t>Source</w:t>
      </w:r>
      <w:r w:rsidRPr="009333E6">
        <w:rPr>
          <w:rFonts w:ascii="Times New Roman" w:hAnsi="Times New Roman" w:cs="Times New Roman"/>
          <w:i w:val="0"/>
          <w:iCs w:val="0"/>
          <w:color w:val="auto"/>
          <w:sz w:val="22"/>
          <w:szCs w:val="22"/>
        </w:rPr>
        <w:t xml:space="preserve">: </w:t>
      </w:r>
      <w:r w:rsidR="00064259" w:rsidRPr="009333E6">
        <w:rPr>
          <w:rFonts w:ascii="Times New Roman" w:hAnsi="Times New Roman" w:cs="Times New Roman"/>
          <w:i w:val="0"/>
          <w:iCs w:val="0"/>
          <w:color w:val="auto"/>
          <w:sz w:val="22"/>
          <w:szCs w:val="22"/>
          <w:lang w:val="id-ID"/>
        </w:rPr>
        <w:t>Analytical Result</w:t>
      </w:r>
      <w:r w:rsidRPr="009333E6">
        <w:rPr>
          <w:rFonts w:ascii="Times New Roman" w:hAnsi="Times New Roman" w:cs="Times New Roman"/>
          <w:i w:val="0"/>
          <w:iCs w:val="0"/>
          <w:color w:val="auto"/>
          <w:sz w:val="22"/>
          <w:szCs w:val="22"/>
        </w:rPr>
        <w:t>, 2022</w:t>
      </w:r>
    </w:p>
    <w:p w14:paraId="45E97C7E" w14:textId="57780131" w:rsidR="00D314F9" w:rsidRPr="009333E6" w:rsidRDefault="00064259" w:rsidP="00D314F9">
      <w:pPr>
        <w:jc w:val="both"/>
        <w:rPr>
          <w:sz w:val="22"/>
          <w:szCs w:val="22"/>
          <w:shd w:val="clear" w:color="auto" w:fill="FFFFFF"/>
        </w:rPr>
      </w:pPr>
      <w:r w:rsidRPr="009333E6">
        <w:rPr>
          <w:sz w:val="22"/>
          <w:szCs w:val="22"/>
          <w:shd w:val="clear" w:color="auto" w:fill="FFFFFF"/>
          <w:lang w:val="id-ID"/>
        </w:rPr>
        <w:lastRenderedPageBreak/>
        <w:t xml:space="preserve">NDVI and TVDI application on this research, shows that there is an evidence on correlated response between vegetation and drought that affected by an increasing tourism activity  resulting in drought potential escalation which endanger a regional system ecology.  </w:t>
      </w:r>
    </w:p>
    <w:p w14:paraId="1B9370E9" w14:textId="77777777" w:rsidR="00D314F9" w:rsidRPr="009333E6" w:rsidRDefault="00D314F9" w:rsidP="00D314F9">
      <w:pPr>
        <w:jc w:val="both"/>
        <w:rPr>
          <w:sz w:val="22"/>
          <w:szCs w:val="22"/>
          <w:shd w:val="clear" w:color="auto" w:fill="FFFFFF"/>
        </w:rPr>
      </w:pPr>
    </w:p>
    <w:p w14:paraId="720CBD92" w14:textId="0CF094DE" w:rsidR="00D314F9" w:rsidRPr="009333E6" w:rsidRDefault="00064259" w:rsidP="00D314F9">
      <w:pPr>
        <w:jc w:val="both"/>
        <w:rPr>
          <w:sz w:val="22"/>
          <w:szCs w:val="22"/>
          <w:lang w:eastAsia="zh-CN"/>
        </w:rPr>
      </w:pPr>
      <w:r w:rsidRPr="009333E6">
        <w:rPr>
          <w:sz w:val="22"/>
          <w:szCs w:val="22"/>
          <w:lang w:val="id-ID"/>
        </w:rPr>
        <w:t>Picture</w:t>
      </w:r>
      <w:r w:rsidR="00D314F9" w:rsidRPr="009333E6">
        <w:rPr>
          <w:sz w:val="22"/>
          <w:szCs w:val="22"/>
        </w:rPr>
        <w:t xml:space="preserve"> 1 </w:t>
      </w:r>
      <w:r w:rsidRPr="009333E6">
        <w:rPr>
          <w:sz w:val="22"/>
          <w:szCs w:val="22"/>
          <w:lang w:val="id-ID"/>
        </w:rPr>
        <w:t>Map Analysis</w:t>
      </w:r>
      <w:r w:rsidR="00D314F9" w:rsidRPr="009333E6">
        <w:rPr>
          <w:sz w:val="22"/>
          <w:szCs w:val="22"/>
        </w:rPr>
        <w:t xml:space="preserve"> Temperature Vegetation Dryness Index </w:t>
      </w:r>
      <w:r w:rsidR="00B95452" w:rsidRPr="009333E6">
        <w:rPr>
          <w:sz w:val="22"/>
          <w:szCs w:val="22"/>
          <w:lang w:val="id-ID"/>
        </w:rPr>
        <w:t xml:space="preserve">shows a significant difference on drought level in each study location. </w:t>
      </w:r>
      <w:proofErr w:type="spellStart"/>
      <w:r w:rsidR="00D314F9" w:rsidRPr="009333E6">
        <w:rPr>
          <w:sz w:val="22"/>
          <w:szCs w:val="22"/>
        </w:rPr>
        <w:t>Tulungrejo</w:t>
      </w:r>
      <w:proofErr w:type="spellEnd"/>
      <w:r w:rsidR="00D314F9" w:rsidRPr="009333E6">
        <w:rPr>
          <w:sz w:val="22"/>
          <w:szCs w:val="22"/>
        </w:rPr>
        <w:t xml:space="preserve"> </w:t>
      </w:r>
      <w:r w:rsidR="00B95452" w:rsidRPr="009333E6">
        <w:rPr>
          <w:sz w:val="22"/>
          <w:szCs w:val="22"/>
          <w:lang w:val="id-ID"/>
        </w:rPr>
        <w:t xml:space="preserve">Village with the highest vegetation index compared to Sumbergondo Village and Sidomulyo Village with Vegetation Index of 10%, has a land coverage percentage with the lowest drought level on level 1 and 2. Meanwhile, in Sumebergondo Village with coverage percentation accumulation with </w:t>
      </w:r>
      <w:r w:rsidR="00B95452" w:rsidRPr="009333E6">
        <w:rPr>
          <w:i/>
          <w:iCs/>
          <w:sz w:val="22"/>
          <w:szCs w:val="22"/>
          <w:lang w:val="id-ID"/>
        </w:rPr>
        <w:t>very low</w:t>
      </w:r>
      <w:r w:rsidR="00B95452" w:rsidRPr="009333E6">
        <w:rPr>
          <w:sz w:val="22"/>
          <w:szCs w:val="22"/>
          <w:lang w:val="id-ID"/>
        </w:rPr>
        <w:t xml:space="preserve">, </w:t>
      </w:r>
      <w:r w:rsidR="00B95452" w:rsidRPr="009333E6">
        <w:rPr>
          <w:i/>
          <w:iCs/>
          <w:sz w:val="22"/>
          <w:szCs w:val="22"/>
          <w:lang w:val="id-ID"/>
        </w:rPr>
        <w:t>low</w:t>
      </w:r>
      <w:r w:rsidR="00B95452" w:rsidRPr="009333E6">
        <w:rPr>
          <w:sz w:val="22"/>
          <w:szCs w:val="22"/>
          <w:lang w:val="id-ID"/>
        </w:rPr>
        <w:t xml:space="preserve">, and </w:t>
      </w:r>
      <w:r w:rsidR="00B95452" w:rsidRPr="009333E6">
        <w:rPr>
          <w:i/>
          <w:iCs/>
          <w:sz w:val="22"/>
          <w:szCs w:val="22"/>
          <w:lang w:val="id-ID"/>
        </w:rPr>
        <w:t>non-vegetation</w:t>
      </w:r>
      <w:r w:rsidR="00B95452" w:rsidRPr="009333E6">
        <w:rPr>
          <w:sz w:val="22"/>
          <w:szCs w:val="22"/>
          <w:lang w:val="id-ID"/>
        </w:rPr>
        <w:t xml:space="preserve"> Vegetation Indeks higher than the two other village on 22.84% has a relation towards drought response that shown by TVDI index normal classification (Level 3) with 27% percentage, dry (Level 4) with 8% percentage, and very dry (Level 5) with 1% percentage.  </w:t>
      </w:r>
    </w:p>
    <w:p w14:paraId="2DAAC8ED" w14:textId="765E338C" w:rsidR="00AC08DA" w:rsidRPr="009333E6" w:rsidRDefault="00B211A7" w:rsidP="00AC08DA">
      <w:pPr>
        <w:pStyle w:val="Heading1"/>
      </w:pPr>
      <w:r w:rsidRPr="009333E6">
        <w:t xml:space="preserve">Conclusion </w:t>
      </w:r>
    </w:p>
    <w:p w14:paraId="7FBF66B8" w14:textId="0A5BD195" w:rsidR="00E30449" w:rsidRPr="009333E6" w:rsidRDefault="00B95452" w:rsidP="00E30449">
      <w:pPr>
        <w:jc w:val="both"/>
        <w:rPr>
          <w:sz w:val="22"/>
          <w:szCs w:val="22"/>
        </w:rPr>
      </w:pPr>
      <w:r w:rsidRPr="009333E6">
        <w:rPr>
          <w:sz w:val="22"/>
          <w:szCs w:val="22"/>
          <w:lang w:val="id-ID"/>
        </w:rPr>
        <w:t>Analytical result on the 3 (three) village which is Sidomulyo Village, Sumbergondo Village, and Tulungrejo Village</w:t>
      </w:r>
      <w:r w:rsidR="00BB7745" w:rsidRPr="009333E6">
        <w:rPr>
          <w:sz w:val="22"/>
          <w:szCs w:val="22"/>
          <w:lang w:val="id-ID"/>
        </w:rPr>
        <w:t xml:space="preserve"> shows a correlation between coverage index that shown with </w:t>
      </w:r>
      <w:r w:rsidR="00E30449" w:rsidRPr="009333E6">
        <w:rPr>
          <w:i/>
          <w:iCs/>
          <w:sz w:val="22"/>
          <w:szCs w:val="22"/>
        </w:rPr>
        <w:t xml:space="preserve">Normalized Difference Vegetation Index </w:t>
      </w:r>
      <w:r w:rsidR="00E30449" w:rsidRPr="009333E6">
        <w:rPr>
          <w:sz w:val="22"/>
          <w:szCs w:val="22"/>
        </w:rPr>
        <w:t>(NDVI)</w:t>
      </w:r>
      <w:r w:rsidR="00BB7745" w:rsidRPr="009333E6">
        <w:rPr>
          <w:sz w:val="22"/>
          <w:szCs w:val="22"/>
          <w:lang w:val="id-ID"/>
        </w:rPr>
        <w:t xml:space="preserve"> approach on each village on drought level that are shown by </w:t>
      </w:r>
      <w:r w:rsidR="00E30449" w:rsidRPr="009333E6">
        <w:rPr>
          <w:i/>
          <w:iCs/>
          <w:sz w:val="22"/>
          <w:szCs w:val="22"/>
        </w:rPr>
        <w:t>Temperature Vegetation Dryness Index</w:t>
      </w:r>
      <w:r w:rsidR="00E30449" w:rsidRPr="009333E6">
        <w:rPr>
          <w:sz w:val="22"/>
          <w:szCs w:val="22"/>
        </w:rPr>
        <w:t xml:space="preserve">. </w:t>
      </w:r>
    </w:p>
    <w:p w14:paraId="133CAC60" w14:textId="77777777" w:rsidR="00E30449" w:rsidRPr="009333E6" w:rsidRDefault="00E30449" w:rsidP="00E30449">
      <w:pPr>
        <w:jc w:val="both"/>
        <w:rPr>
          <w:sz w:val="22"/>
          <w:szCs w:val="22"/>
        </w:rPr>
      </w:pPr>
    </w:p>
    <w:p w14:paraId="6CD49C2C" w14:textId="3C03428A" w:rsidR="00E30449" w:rsidRPr="009333E6" w:rsidRDefault="00BB7745" w:rsidP="00E30449">
      <w:pPr>
        <w:jc w:val="both"/>
        <w:rPr>
          <w:sz w:val="22"/>
          <w:szCs w:val="22"/>
        </w:rPr>
      </w:pPr>
      <w:r w:rsidRPr="009333E6">
        <w:rPr>
          <w:sz w:val="22"/>
          <w:szCs w:val="22"/>
          <w:lang w:val="id-ID"/>
        </w:rPr>
        <w:t xml:space="preserve">The changes in tourism tren are expected to increase the role of agrotourism in increasing environment sustainibility in emphasizing agricultural plantation as a tourism charm by taking care of water availibility that are shown by the low drought level on an area with high vegetation in Batu City. </w:t>
      </w:r>
    </w:p>
    <w:p w14:paraId="341649E2" w14:textId="77777777" w:rsidR="00E30449" w:rsidRPr="009333E6" w:rsidRDefault="00E30449" w:rsidP="00E30449">
      <w:pPr>
        <w:jc w:val="both"/>
        <w:rPr>
          <w:sz w:val="22"/>
          <w:szCs w:val="22"/>
        </w:rPr>
      </w:pPr>
    </w:p>
    <w:p w14:paraId="70471680" w14:textId="508BB28B" w:rsidR="00E30449" w:rsidRPr="009333E6" w:rsidRDefault="00BB7745" w:rsidP="00AC08DA">
      <w:pPr>
        <w:pStyle w:val="Text"/>
        <w:rPr>
          <w:lang w:val="id-ID"/>
        </w:rPr>
      </w:pPr>
      <w:r w:rsidRPr="009333E6">
        <w:rPr>
          <w:lang w:val="en"/>
        </w:rPr>
        <w:t xml:space="preserve">Nevertheless, this study has some limitations that must be resolved in future research. First, how can </w:t>
      </w:r>
      <w:proofErr w:type="spellStart"/>
      <w:r w:rsidRPr="009333E6">
        <w:rPr>
          <w:lang w:val="en"/>
        </w:rPr>
        <w:t>agro</w:t>
      </w:r>
      <w:proofErr w:type="spellEnd"/>
      <w:r w:rsidRPr="009333E6">
        <w:rPr>
          <w:lang w:val="en"/>
        </w:rPr>
        <w:t xml:space="preserve">-tourism be questioned more through ecosystem services. Second, how is the ecological risk assessment model of </w:t>
      </w:r>
      <w:proofErr w:type="spellStart"/>
      <w:r w:rsidRPr="009333E6">
        <w:rPr>
          <w:lang w:val="en"/>
        </w:rPr>
        <w:t>agro</w:t>
      </w:r>
      <w:proofErr w:type="spellEnd"/>
      <w:r w:rsidRPr="009333E6">
        <w:rPr>
          <w:lang w:val="en"/>
        </w:rPr>
        <w:t xml:space="preserve">-tourism development. Third, a comparison of approaches in determining the results of an ecological risk assessment of the development of </w:t>
      </w:r>
      <w:proofErr w:type="spellStart"/>
      <w:r w:rsidRPr="009333E6">
        <w:rPr>
          <w:lang w:val="en"/>
        </w:rPr>
        <w:t>agro</w:t>
      </w:r>
      <w:proofErr w:type="spellEnd"/>
      <w:r w:rsidRPr="009333E6">
        <w:rPr>
          <w:lang w:val="en"/>
        </w:rPr>
        <w:t>-tourism.</w:t>
      </w:r>
    </w:p>
    <w:p w14:paraId="3AD5449B" w14:textId="72370FB4" w:rsidR="00AC08DA" w:rsidRPr="009333E6" w:rsidRDefault="00AC08DA" w:rsidP="00E30449">
      <w:pPr>
        <w:pStyle w:val="Text"/>
        <w:outlineLvl w:val="0"/>
        <w:rPr>
          <w:b/>
          <w:lang w:val="id-ID"/>
        </w:rPr>
      </w:pPr>
      <w:r w:rsidRPr="009333E6">
        <w:rPr>
          <w:b/>
          <w:lang w:val="id-ID"/>
        </w:rPr>
        <w:t>References</w:t>
      </w:r>
    </w:p>
    <w:p w14:paraId="70149055" w14:textId="25A886AC" w:rsidR="009333E6" w:rsidRPr="009333E6" w:rsidRDefault="009333E6" w:rsidP="00B1478F">
      <w:pPr>
        <w:pStyle w:val="Reference"/>
        <w:rPr>
          <w:noProof/>
        </w:rPr>
      </w:pPr>
      <w:r w:rsidRPr="009333E6">
        <w:rPr>
          <w:b/>
          <w:sz w:val="24"/>
          <w:szCs w:val="20"/>
          <w:lang w:val="id-ID"/>
        </w:rPr>
        <w:fldChar w:fldCharType="begin" w:fldLock="1"/>
      </w:r>
      <w:r w:rsidRPr="009333E6">
        <w:rPr>
          <w:b/>
          <w:lang w:val="id-ID"/>
        </w:rPr>
        <w:instrText xml:space="preserve">ADDIN Mendeley Bibliography CSL_BIBLIOGRAPHY </w:instrText>
      </w:r>
      <w:r w:rsidRPr="009333E6">
        <w:rPr>
          <w:b/>
          <w:sz w:val="24"/>
          <w:szCs w:val="20"/>
          <w:lang w:val="id-ID"/>
        </w:rPr>
        <w:fldChar w:fldCharType="separate"/>
      </w:r>
      <w:r w:rsidRPr="009333E6">
        <w:rPr>
          <w:noProof/>
        </w:rPr>
        <w:t xml:space="preserve">K. C. Seto, R. Sánchez-Rodríguez, and M. Fragkias, “The New Geography of Contemporary Urbanization and the Environment,” </w:t>
      </w:r>
      <w:r w:rsidRPr="009333E6">
        <w:rPr>
          <w:i/>
          <w:iCs/>
          <w:noProof/>
        </w:rPr>
        <w:t>http://dx.doi.org/10.1146/annurev-environ-100809-125336</w:t>
      </w:r>
      <w:r w:rsidRPr="009333E6">
        <w:rPr>
          <w:noProof/>
        </w:rPr>
        <w:t>, vol. 35, pp. 167–194, Oct. 2010, doi: 10.1146/ANNUREV-ENVIRON-100809-125336.</w:t>
      </w:r>
    </w:p>
    <w:p w14:paraId="5FF1F8ED" w14:textId="08A206E5" w:rsidR="009333E6" w:rsidRPr="009333E6" w:rsidRDefault="009333E6" w:rsidP="00B1478F">
      <w:pPr>
        <w:pStyle w:val="Reference"/>
        <w:rPr>
          <w:noProof/>
        </w:rPr>
      </w:pPr>
      <w:r w:rsidRPr="009333E6">
        <w:rPr>
          <w:noProof/>
        </w:rPr>
        <w:lastRenderedPageBreak/>
        <w:t>“What does astycene mean - Definition of astycene - Word finder.” https://findwords.info/term/astycene (accessed Sep. 14, 2022).</w:t>
      </w:r>
    </w:p>
    <w:p w14:paraId="60E7733D" w14:textId="1A7E9422" w:rsidR="009333E6" w:rsidRPr="009333E6" w:rsidRDefault="009333E6" w:rsidP="00B1478F">
      <w:pPr>
        <w:pStyle w:val="Reference"/>
        <w:rPr>
          <w:noProof/>
        </w:rPr>
      </w:pPr>
      <w:r w:rsidRPr="009333E6">
        <w:rPr>
          <w:noProof/>
        </w:rPr>
        <w:t xml:space="preserve">C. Aall and K. Koens, “The discourse on sustainable urban tourism: The need for discussing more than overtourism,” </w:t>
      </w:r>
      <w:r w:rsidRPr="009333E6">
        <w:rPr>
          <w:i/>
          <w:iCs/>
          <w:noProof/>
        </w:rPr>
        <w:t>Sustain.</w:t>
      </w:r>
      <w:r w:rsidRPr="009333E6">
        <w:rPr>
          <w:noProof/>
        </w:rPr>
        <w:t>, vol. 11, no. 15, pp. 1–12, 2019, doi: 10.3390/su11154228.</w:t>
      </w:r>
    </w:p>
    <w:p w14:paraId="2A3CCE84" w14:textId="3C29D26E" w:rsidR="009333E6" w:rsidRPr="009333E6" w:rsidRDefault="009333E6" w:rsidP="00B1478F">
      <w:pPr>
        <w:pStyle w:val="Reference"/>
        <w:rPr>
          <w:noProof/>
        </w:rPr>
      </w:pPr>
      <w:r w:rsidRPr="009333E6">
        <w:rPr>
          <w:noProof/>
        </w:rPr>
        <w:t xml:space="preserve">D. Edwards, T. Griffin, and B. Hayllar, “Urban Tourism Research. Developing an Agenda,” </w:t>
      </w:r>
      <w:r w:rsidRPr="009333E6">
        <w:rPr>
          <w:i/>
          <w:iCs/>
          <w:noProof/>
        </w:rPr>
        <w:t>Ann. Tour. Res.</w:t>
      </w:r>
      <w:r w:rsidRPr="009333E6">
        <w:rPr>
          <w:noProof/>
        </w:rPr>
        <w:t>, vol. 35, no. 4, pp. 1032–1052, 2008, doi: 10.1016/j.annals.2008.09.002.</w:t>
      </w:r>
    </w:p>
    <w:p w14:paraId="79CB723F" w14:textId="5344B3F3" w:rsidR="009333E6" w:rsidRPr="009333E6" w:rsidRDefault="009333E6" w:rsidP="00B1478F">
      <w:pPr>
        <w:pStyle w:val="Reference"/>
        <w:rPr>
          <w:noProof/>
        </w:rPr>
      </w:pPr>
      <w:r w:rsidRPr="009333E6">
        <w:rPr>
          <w:noProof/>
        </w:rPr>
        <w:t>“The Link Between Tourism and Climate Change — Sea Going Green,” Mar. 03, 2020. https://www.seagoinggreen.org/blog/the-link-between-tourism-and-climate-change (accessed Sep. 14, 2022).</w:t>
      </w:r>
    </w:p>
    <w:p w14:paraId="0CEAC1FE" w14:textId="63E3D2FB" w:rsidR="009333E6" w:rsidRPr="009333E6" w:rsidRDefault="009333E6" w:rsidP="00B1478F">
      <w:pPr>
        <w:pStyle w:val="Reference"/>
        <w:rPr>
          <w:noProof/>
        </w:rPr>
      </w:pPr>
      <w:r w:rsidRPr="009333E6">
        <w:rPr>
          <w:noProof/>
        </w:rPr>
        <w:t xml:space="preserve">M. Lenzen, Y. Y. Sun, F. Faturay, Y. P. Ting, A. Geschke, and A. Malik, “The carbon footprint of global tourism,” </w:t>
      </w:r>
      <w:r w:rsidRPr="009333E6">
        <w:rPr>
          <w:i/>
          <w:iCs/>
          <w:noProof/>
        </w:rPr>
        <w:t>Nat. Clim. Chang. 2018 86</w:t>
      </w:r>
      <w:r w:rsidRPr="009333E6">
        <w:rPr>
          <w:noProof/>
        </w:rPr>
        <w:t>, vol. 8, no. 6, pp. 522–528, May 2018, doi: 10.1038/s41558-018-0141-x.</w:t>
      </w:r>
    </w:p>
    <w:p w14:paraId="2520DE5A" w14:textId="6B2CEBF1" w:rsidR="009333E6" w:rsidRPr="009333E6" w:rsidRDefault="009333E6" w:rsidP="00B1478F">
      <w:pPr>
        <w:pStyle w:val="Reference"/>
        <w:rPr>
          <w:noProof/>
        </w:rPr>
      </w:pPr>
      <w:r w:rsidRPr="009333E6">
        <w:rPr>
          <w:noProof/>
        </w:rPr>
        <w:t xml:space="preserve">M. Goretti </w:t>
      </w:r>
      <w:r w:rsidRPr="009333E6">
        <w:rPr>
          <w:i/>
          <w:iCs/>
          <w:noProof/>
        </w:rPr>
        <w:t>et al.</w:t>
      </w:r>
      <w:r w:rsidRPr="009333E6">
        <w:rPr>
          <w:noProof/>
        </w:rPr>
        <w:t xml:space="preserve">, </w:t>
      </w:r>
      <w:r w:rsidRPr="009333E6">
        <w:rPr>
          <w:i/>
          <w:iCs/>
          <w:noProof/>
        </w:rPr>
        <w:t>Tourism in the Post-Pandemic World</w:t>
      </w:r>
      <w:r w:rsidRPr="009333E6">
        <w:rPr>
          <w:noProof/>
        </w:rPr>
        <w:t>, no. 21. 2021.</w:t>
      </w:r>
    </w:p>
    <w:p w14:paraId="78FEFB8F" w14:textId="528A4B26" w:rsidR="009333E6" w:rsidRPr="009333E6" w:rsidRDefault="009333E6" w:rsidP="00B1478F">
      <w:pPr>
        <w:pStyle w:val="Reference"/>
        <w:rPr>
          <w:noProof/>
        </w:rPr>
      </w:pPr>
      <w:r w:rsidRPr="009333E6">
        <w:rPr>
          <w:noProof/>
        </w:rPr>
        <w:t>Asian Development Bank, “Domestic Tourism in Southeast Asia: Opportunities and Pathways - Matthias Helble and Jaeyeon Choe | Asian Development Bank.” https://www.adb.org/news/op-ed/domestic-tourism-southeast-asia-opportunities-and-pathways-matthias-helble-and-jaeyeon (accessed Oct. 22, 2022).</w:t>
      </w:r>
    </w:p>
    <w:p w14:paraId="6905871F" w14:textId="5D0DE43B" w:rsidR="009333E6" w:rsidRPr="009333E6" w:rsidRDefault="009333E6" w:rsidP="00B1478F">
      <w:pPr>
        <w:pStyle w:val="Reference"/>
        <w:rPr>
          <w:noProof/>
        </w:rPr>
      </w:pPr>
      <w:r w:rsidRPr="009333E6">
        <w:rPr>
          <w:noProof/>
        </w:rPr>
        <w:t xml:space="preserve">F. Nearchou and E. Douglas, “Traumatic Distress of COVID-19 and Depression in the General Population: Exploring the Role of Resilience, Anxiety, and Hope,” </w:t>
      </w:r>
      <w:r w:rsidRPr="009333E6">
        <w:rPr>
          <w:i/>
          <w:iCs/>
          <w:noProof/>
        </w:rPr>
        <w:t>Int. J. Environ. Res. Public Health</w:t>
      </w:r>
      <w:r w:rsidRPr="009333E6">
        <w:rPr>
          <w:noProof/>
        </w:rPr>
        <w:t>, vol. 18, no. 16, Aug. 2021, doi: 10.3390/IJERPH18168485.</w:t>
      </w:r>
    </w:p>
    <w:p w14:paraId="141D98F1" w14:textId="558CDAD9" w:rsidR="009333E6" w:rsidRPr="009333E6" w:rsidRDefault="009333E6" w:rsidP="00B1478F">
      <w:pPr>
        <w:pStyle w:val="Reference"/>
        <w:rPr>
          <w:noProof/>
        </w:rPr>
      </w:pPr>
      <w:r w:rsidRPr="009333E6">
        <w:rPr>
          <w:noProof/>
        </w:rPr>
        <w:t xml:space="preserve">S. Zach, J. Fernandez-Rio, A. Zeev, M. Ophir, and S. Eilat-Adar, “Correction to: Physical activity, resilience, emotions, moods, and weight control, during the COVID-19 global crisis,” </w:t>
      </w:r>
      <w:r w:rsidRPr="009333E6">
        <w:rPr>
          <w:i/>
          <w:iCs/>
          <w:noProof/>
        </w:rPr>
        <w:t>Isr. J. Health Policy Res.</w:t>
      </w:r>
      <w:r w:rsidRPr="009333E6">
        <w:rPr>
          <w:noProof/>
        </w:rPr>
        <w:t>, vol. 10, no. 1, p. 55, Dec. 2021, doi: 10.1186/S13584-021-00489-3.</w:t>
      </w:r>
    </w:p>
    <w:p w14:paraId="4E80FF83" w14:textId="4557C415" w:rsidR="009333E6" w:rsidRPr="009333E6" w:rsidRDefault="009333E6" w:rsidP="00B1478F">
      <w:pPr>
        <w:pStyle w:val="Reference"/>
        <w:rPr>
          <w:noProof/>
        </w:rPr>
      </w:pPr>
      <w:r w:rsidRPr="009333E6">
        <w:rPr>
          <w:noProof/>
        </w:rPr>
        <w:t xml:space="preserve">“UNWTO Recommendations on Tourism and Rural Development – A Guide to Making Tourism an Effective Tool for Rural Development,” </w:t>
      </w:r>
      <w:r w:rsidRPr="009333E6">
        <w:rPr>
          <w:i/>
          <w:iCs/>
          <w:noProof/>
        </w:rPr>
        <w:t>UNWTO Recomm. Tour. Rural Dev. – A Guid. to Mak. Tour. an Eff. Tool Rural Dev.</w:t>
      </w:r>
      <w:r w:rsidRPr="009333E6">
        <w:rPr>
          <w:noProof/>
        </w:rPr>
        <w:t>, Sep. 2020, doi: 10.18111/9789284422173.</w:t>
      </w:r>
    </w:p>
    <w:p w14:paraId="45D713A4" w14:textId="1C850E14" w:rsidR="009333E6" w:rsidRPr="009333E6" w:rsidRDefault="009333E6" w:rsidP="00B1478F">
      <w:pPr>
        <w:pStyle w:val="Reference"/>
        <w:rPr>
          <w:noProof/>
        </w:rPr>
      </w:pPr>
      <w:r w:rsidRPr="009333E6">
        <w:rPr>
          <w:noProof/>
        </w:rPr>
        <w:t xml:space="preserve">S. Rauniyar, M. K. Awasthi, S. Kapoor, and A. K. Mishra, “Agritourism: structured literature review and bibliometric analysis,” </w:t>
      </w:r>
      <w:r w:rsidRPr="009333E6">
        <w:rPr>
          <w:i/>
          <w:iCs/>
          <w:noProof/>
        </w:rPr>
        <w:t>Tour. Recreat. Res.</w:t>
      </w:r>
      <w:r w:rsidRPr="009333E6">
        <w:rPr>
          <w:noProof/>
        </w:rPr>
        <w:t>, vol. 46, no. 1, pp. 52–70, 2021, doi: 10.1080/02508281.2020.1753913.</w:t>
      </w:r>
    </w:p>
    <w:p w14:paraId="67194641" w14:textId="5E0C4ECF" w:rsidR="009333E6" w:rsidRPr="009333E6" w:rsidRDefault="009333E6" w:rsidP="00B1478F">
      <w:pPr>
        <w:pStyle w:val="Reference"/>
        <w:rPr>
          <w:noProof/>
        </w:rPr>
      </w:pPr>
      <w:r w:rsidRPr="009333E6">
        <w:rPr>
          <w:noProof/>
        </w:rPr>
        <w:t xml:space="preserve">A. Bannari, H. Asalhi, and P. M. Teillet, “Transformed difference vegetation index (TDVI) for vegetation cover mapping,” </w:t>
      </w:r>
      <w:r w:rsidRPr="009333E6">
        <w:rPr>
          <w:i/>
          <w:iCs/>
          <w:noProof/>
        </w:rPr>
        <w:t>Int. Geosci. Remote Sens. Symp.</w:t>
      </w:r>
      <w:r w:rsidRPr="009333E6">
        <w:rPr>
          <w:noProof/>
        </w:rPr>
        <w:t>, vol. 5, no. March, pp. 3053–3055, 2002, doi: 10.1109/igarss.2002.1026867.</w:t>
      </w:r>
    </w:p>
    <w:p w14:paraId="4FA916FC" w14:textId="49136FC8" w:rsidR="009333E6" w:rsidRPr="009333E6" w:rsidRDefault="009333E6" w:rsidP="00B1478F">
      <w:pPr>
        <w:pStyle w:val="Reference"/>
        <w:rPr>
          <w:noProof/>
        </w:rPr>
      </w:pPr>
      <w:r w:rsidRPr="009333E6">
        <w:rPr>
          <w:noProof/>
        </w:rPr>
        <w:t xml:space="preserve">I. Sandholt, K. Rasmussen, and J. Andersen, “A simple interpretation of the surface temperature/vegetation index space for assessment of surface moisture status,” </w:t>
      </w:r>
      <w:r w:rsidRPr="009333E6">
        <w:rPr>
          <w:i/>
          <w:iCs/>
          <w:noProof/>
        </w:rPr>
        <w:t>Remote Sens. Environ.</w:t>
      </w:r>
      <w:r w:rsidRPr="009333E6">
        <w:rPr>
          <w:noProof/>
        </w:rPr>
        <w:t>, vol. 79, no. 2–3, pp. 213–224, Feb. 2002, doi: 10.1016/S0034-4257(01)00274-7.</w:t>
      </w:r>
    </w:p>
    <w:p w14:paraId="24E3A68D" w14:textId="556E873D" w:rsidR="009333E6" w:rsidRPr="009333E6" w:rsidRDefault="009333E6" w:rsidP="00B1478F">
      <w:pPr>
        <w:pStyle w:val="Reference"/>
        <w:rPr>
          <w:noProof/>
        </w:rPr>
      </w:pPr>
      <w:r w:rsidRPr="009333E6">
        <w:rPr>
          <w:noProof/>
        </w:rPr>
        <w:lastRenderedPageBreak/>
        <w:t xml:space="preserve">Z. Gao, W. Gao, and N. Bin Chang, “Integrating temperature vegetation dryness index (TVDI) and regional water stress index (RWSI) for drought assessment with the aid of LANDSAT TM/ETM+ images,” </w:t>
      </w:r>
      <w:r w:rsidRPr="009333E6">
        <w:rPr>
          <w:i/>
          <w:iCs/>
          <w:noProof/>
        </w:rPr>
        <w:t>Int. J. Appl. Earth Obs. Geoinf.</w:t>
      </w:r>
      <w:r w:rsidRPr="009333E6">
        <w:rPr>
          <w:noProof/>
        </w:rPr>
        <w:t>, vol. 13, no. 3, pp. 495–503, Jun. 2011, doi: 10.1016/J.JAG.2010.10.005.</w:t>
      </w:r>
    </w:p>
    <w:p w14:paraId="4C79435E" w14:textId="723693FF" w:rsidR="009333E6" w:rsidRPr="009333E6" w:rsidRDefault="009333E6" w:rsidP="00B1478F">
      <w:pPr>
        <w:pStyle w:val="Reference"/>
        <w:rPr>
          <w:noProof/>
        </w:rPr>
      </w:pPr>
      <w:r w:rsidRPr="009333E6">
        <w:rPr>
          <w:noProof/>
        </w:rPr>
        <w:t xml:space="preserve">X. Shi, F. Chen, H. Ding, M. Shi, and Y. Li, “Assessing Vegetation Ecosystem Resistance to Drought in the Middle Reaches of the Yellow River Basin, China,” </w:t>
      </w:r>
      <w:r w:rsidRPr="009333E6">
        <w:rPr>
          <w:i/>
          <w:iCs/>
          <w:noProof/>
        </w:rPr>
        <w:t>Int. J. Environ. Res. Public Health</w:t>
      </w:r>
      <w:r w:rsidRPr="009333E6">
        <w:rPr>
          <w:noProof/>
        </w:rPr>
        <w:t>, vol. 19, no. 7, Apr. 2022, doi: 10.3390/IJERPH19074180.</w:t>
      </w:r>
    </w:p>
    <w:p w14:paraId="4562591D" w14:textId="13285981" w:rsidR="00E30449" w:rsidRPr="009333E6" w:rsidRDefault="009333E6" w:rsidP="00B1478F">
      <w:pPr>
        <w:pStyle w:val="Reference"/>
        <w:numPr>
          <w:ilvl w:val="0"/>
          <w:numId w:val="0"/>
        </w:numPr>
        <w:rPr>
          <w:b/>
          <w:lang w:val="id-ID"/>
        </w:rPr>
      </w:pPr>
      <w:r w:rsidRPr="009333E6">
        <w:rPr>
          <w:b/>
          <w:lang w:val="id-ID"/>
        </w:rPr>
        <w:fldChar w:fldCharType="end"/>
      </w:r>
    </w:p>
    <w:sectPr w:rsidR="00E30449" w:rsidRPr="009333E6" w:rsidSect="00237005">
      <w:headerReference w:type="even" r:id="rId11"/>
      <w:headerReference w:type="default" r:id="rId12"/>
      <w:footerReference w:type="even" r:id="rId13"/>
      <w:footerReference w:type="default" r:id="rId14"/>
      <w:headerReference w:type="first" r:id="rId15"/>
      <w:footerReference w:type="first" r:id="rId16"/>
      <w:pgSz w:w="11907" w:h="16840" w:code="9"/>
      <w:pgMar w:top="2268" w:right="2552" w:bottom="3686" w:left="2268" w:header="1304" w:footer="3119" w:gutter="0"/>
      <w:pgNumType w:start="17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0D49" w14:textId="77777777" w:rsidR="00725BC9" w:rsidRDefault="00725BC9">
      <w:r>
        <w:separator/>
      </w:r>
    </w:p>
  </w:endnote>
  <w:endnote w:type="continuationSeparator" w:id="0">
    <w:p w14:paraId="55646A22" w14:textId="77777777" w:rsidR="00725BC9" w:rsidRDefault="0072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6808" w14:textId="77777777" w:rsidR="00014B73" w:rsidRDefault="00014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3E2C" w14:textId="77777777" w:rsidR="00014B73" w:rsidRDefault="00014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2B11" w14:textId="2F96254A" w:rsidR="002B3443" w:rsidRPr="009D0887" w:rsidRDefault="009D0887" w:rsidP="009D0887">
    <w:pPr>
      <w:pBdr>
        <w:top w:val="single" w:sz="4" w:space="1" w:color="000000"/>
        <w:left w:val="nil"/>
        <w:bottom w:val="nil"/>
        <w:right w:val="nil"/>
        <w:between w:val="nil"/>
      </w:pBdr>
      <w:tabs>
        <w:tab w:val="center" w:pos="4320"/>
        <w:tab w:val="left" w:pos="5775"/>
        <w:tab w:val="right" w:pos="8640"/>
      </w:tabs>
      <w:rPr>
        <w:rFonts w:ascii="Century Gothic" w:hAnsi="Century Gothic"/>
        <w:color w:val="000000"/>
        <w:sz w:val="20"/>
      </w:rPr>
    </w:pPr>
    <w:r w:rsidRPr="009E7D43">
      <w:rPr>
        <w:rFonts w:ascii="Century Gothic" w:hAnsi="Century Gothic"/>
        <w:color w:val="000000"/>
        <w:sz w:val="20"/>
      </w:rPr>
      <w:t>Copyright © 202</w:t>
    </w:r>
    <w:r>
      <w:rPr>
        <w:rFonts w:ascii="Century Gothic" w:hAnsi="Century Gothic"/>
        <w:color w:val="000000"/>
        <w:sz w:val="20"/>
      </w:rPr>
      <w:t>3</w:t>
    </w:r>
    <w:r w:rsidRPr="009E7D43">
      <w:rPr>
        <w:rFonts w:ascii="Century Gothic" w:hAnsi="Century Gothic"/>
        <w:color w:val="000000"/>
        <w:sz w:val="20"/>
      </w:rPr>
      <w:t xml:space="preserve"> Published by ITB, ISSN: 2963-718X</w:t>
    </w:r>
    <w:r w:rsidRPr="009E7D43">
      <w:rPr>
        <w:rFonts w:ascii="Century Gothic" w:hAnsi="Century Gothic"/>
        <w:color w:val="000000"/>
        <w:sz w:val="20"/>
      </w:rPr>
      <w:tab/>
    </w:r>
    <w:r>
      <w:rPr>
        <w:rFonts w:ascii="Century Gothic" w:hAnsi="Century Gothic"/>
        <w:color w:val="000000"/>
        <w:sz w:val="20"/>
      </w:rPr>
      <w:tab/>
    </w:r>
    <w:r w:rsidRPr="009E7D43">
      <w:rPr>
        <w:rFonts w:ascii="Century Gothic" w:hAnsi="Century Gothic"/>
        <w:color w:val="000000"/>
        <w:sz w:val="20"/>
      </w:rPr>
      <w:t xml:space="preserve"> </w:t>
    </w:r>
    <w:r w:rsidRPr="009E7D43">
      <w:rPr>
        <w:rFonts w:ascii="Century Gothic" w:hAnsi="Century Gothic"/>
        <w:color w:val="000000"/>
        <w:sz w:val="20"/>
      </w:rPr>
      <w:fldChar w:fldCharType="begin"/>
    </w:r>
    <w:r w:rsidRPr="009E7D43">
      <w:rPr>
        <w:rFonts w:ascii="Century Gothic" w:hAnsi="Century Gothic"/>
        <w:color w:val="000000"/>
        <w:sz w:val="20"/>
      </w:rPr>
      <w:instrText xml:space="preserve"> PAGE   \* MERGEFORMAT </w:instrText>
    </w:r>
    <w:r w:rsidRPr="009E7D43">
      <w:rPr>
        <w:rFonts w:ascii="Century Gothic" w:hAnsi="Century Gothic"/>
        <w:color w:val="000000"/>
        <w:sz w:val="20"/>
      </w:rPr>
      <w:fldChar w:fldCharType="separate"/>
    </w:r>
    <w:r>
      <w:rPr>
        <w:rFonts w:ascii="Century Gothic" w:hAnsi="Century Gothic"/>
        <w:color w:val="000000"/>
        <w:sz w:val="20"/>
      </w:rPr>
      <w:t>194</w:t>
    </w:r>
    <w:r w:rsidRPr="009E7D43">
      <w:rPr>
        <w:rFonts w:ascii="Century Gothic" w:hAnsi="Century Gothic"/>
        <w:noProof/>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422D" w14:textId="77777777" w:rsidR="00725BC9" w:rsidRDefault="00725BC9">
      <w:r>
        <w:separator/>
      </w:r>
    </w:p>
  </w:footnote>
  <w:footnote w:type="continuationSeparator" w:id="0">
    <w:p w14:paraId="6A38E3EE" w14:textId="77777777" w:rsidR="00725BC9" w:rsidRDefault="0072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DCE7" w14:textId="0C20BFF2" w:rsidR="00AC08DA" w:rsidRPr="009F051B" w:rsidRDefault="00AC08DA" w:rsidP="00AC08DA">
    <w:pPr>
      <w:pStyle w:val="AuthorHeader"/>
      <w:tabs>
        <w:tab w:val="clear" w:pos="4320"/>
        <w:tab w:val="clear" w:pos="8640"/>
        <w:tab w:val="center" w:pos="3544"/>
      </w:tabs>
      <w:jc w:val="left"/>
    </w:pPr>
    <w:r w:rsidRPr="00793B78">
      <w:rPr>
        <w:rStyle w:val="PageNumber"/>
      </w:rPr>
      <w:fldChar w:fldCharType="begin"/>
    </w:r>
    <w:r w:rsidRPr="00793B78">
      <w:rPr>
        <w:rStyle w:val="PageNumber"/>
      </w:rPr>
      <w:instrText xml:space="preserve"> PAGE </w:instrText>
    </w:r>
    <w:r w:rsidRPr="00793B78">
      <w:rPr>
        <w:rStyle w:val="PageNumber"/>
      </w:rPr>
      <w:fldChar w:fldCharType="separate"/>
    </w:r>
    <w:r w:rsidR="007870FE">
      <w:rPr>
        <w:rStyle w:val="PageNumber"/>
        <w:noProof/>
      </w:rPr>
      <w:t>2</w:t>
    </w:r>
    <w:r w:rsidRPr="00793B78">
      <w:rPr>
        <w:rStyle w:val="PageNumber"/>
      </w:rPr>
      <w:fldChar w:fldCharType="end"/>
    </w:r>
    <w:r>
      <w:rPr>
        <w:rStyle w:val="PageNumber"/>
      </w:rPr>
      <w:tab/>
    </w:r>
    <w:proofErr w:type="spellStart"/>
    <w:r w:rsidR="000E58EF">
      <w:t>Fardiah</w:t>
    </w:r>
    <w:proofErr w:type="spellEnd"/>
    <w:r w:rsidR="000E58EF">
      <w:t xml:space="preserve"> </w:t>
    </w:r>
    <w:proofErr w:type="spellStart"/>
    <w:r w:rsidR="000E58EF">
      <w:t>Qonita</w:t>
    </w:r>
    <w:proofErr w:type="spellEnd"/>
    <w:r w:rsidR="000E58EF">
      <w:t xml:space="preserve"> </w:t>
    </w:r>
    <w:proofErr w:type="spellStart"/>
    <w:r w:rsidR="000E58EF">
      <w:t>Ummi</w:t>
    </w:r>
    <w:proofErr w:type="spellEnd"/>
    <w:r w:rsidR="000E58EF">
      <w:t xml:space="preserve"> </w:t>
    </w:r>
    <w:proofErr w:type="spellStart"/>
    <w:r w:rsidR="000E58EF">
      <w:t>Naila</w:t>
    </w:r>
    <w:proofErr w:type="spellEnd"/>
    <w:r w:rsidR="00B1478F">
      <w:t xml:space="preserve">, </w:t>
    </w:r>
    <w:r w:rsidR="00B1478F" w:rsidRPr="00B1478F">
      <w:rPr>
        <w:i/>
        <w:iCs/>
      </w:rPr>
      <w:t>et al</w:t>
    </w:r>
    <w:r w:rsidR="00014B73">
      <w:rPr>
        <w:i/>
        <w:iC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8624" w14:textId="529D7210" w:rsidR="00AC08DA" w:rsidRPr="00C46480" w:rsidRDefault="00AC08DA" w:rsidP="00AC08DA">
    <w:pPr>
      <w:pStyle w:val="TitleHeader"/>
      <w:tabs>
        <w:tab w:val="center" w:pos="3544"/>
        <w:tab w:val="right" w:pos="7088"/>
      </w:tabs>
      <w:rPr>
        <w:caps/>
      </w:rPr>
    </w:pPr>
    <w:r>
      <w:tab/>
    </w:r>
    <w:r w:rsidR="00B1478F" w:rsidRPr="00B1478F">
      <w:t>The Role of Agrotourism in Environmental Sustainability</w:t>
    </w:r>
    <w:r>
      <w:tab/>
    </w:r>
    <w:r w:rsidRPr="00793B78">
      <w:rPr>
        <w:rStyle w:val="PageNumber"/>
      </w:rPr>
      <w:fldChar w:fldCharType="begin"/>
    </w:r>
    <w:r w:rsidRPr="00793B78">
      <w:rPr>
        <w:rStyle w:val="PageNumber"/>
      </w:rPr>
      <w:instrText xml:space="preserve"> PAGE </w:instrText>
    </w:r>
    <w:r w:rsidRPr="00793B78">
      <w:rPr>
        <w:rStyle w:val="PageNumber"/>
      </w:rPr>
      <w:fldChar w:fldCharType="separate"/>
    </w:r>
    <w:r w:rsidR="007870FE">
      <w:rPr>
        <w:rStyle w:val="PageNumber"/>
        <w:noProof/>
      </w:rPr>
      <w:t>3</w:t>
    </w:r>
    <w:r w:rsidRPr="00793B78">
      <w:rPr>
        <w:rStyle w:val="PageNumber"/>
      </w:rPr>
      <w:fldChar w:fldCharType="end"/>
    </w:r>
  </w:p>
  <w:p w14:paraId="3EDAF17D" w14:textId="77777777" w:rsidR="00AC08DA" w:rsidRDefault="00AC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016"/>
    </w:tblGrid>
    <w:tr w:rsidR="009D0887" w:rsidRPr="00086BEA" w14:paraId="4E77D99C" w14:textId="77777777" w:rsidTr="007C6D92">
      <w:tc>
        <w:tcPr>
          <w:tcW w:w="6030" w:type="dxa"/>
        </w:tcPr>
        <w:p w14:paraId="115D0C63" w14:textId="77777777" w:rsidR="009D0887" w:rsidRPr="0023693C" w:rsidRDefault="009D0887" w:rsidP="009D0887">
          <w:pPr>
            <w:rPr>
              <w:rFonts w:ascii="Century Gothic" w:eastAsia="Century Gothic" w:hAnsi="Century Gothic" w:cs="Century Gothic"/>
              <w:b/>
              <w:bCs/>
              <w:color w:val="000000"/>
              <w:sz w:val="20"/>
            </w:rPr>
          </w:pPr>
          <w:bookmarkStart w:id="0" w:name="_Hlk131683398"/>
          <w:r w:rsidRPr="0023693C">
            <w:rPr>
              <w:rFonts w:ascii="Century Gothic" w:eastAsia="Century Gothic" w:hAnsi="Century Gothic" w:cs="Century Gothic"/>
              <w:b/>
              <w:bCs/>
              <w:color w:val="000000"/>
              <w:sz w:val="20"/>
            </w:rPr>
            <w:t xml:space="preserve">Proceedings of the </w:t>
          </w:r>
          <w:r>
            <w:rPr>
              <w:rFonts w:ascii="Century Gothic" w:eastAsia="Century Gothic" w:hAnsi="Century Gothic" w:cs="Century Gothic"/>
              <w:b/>
              <w:bCs/>
              <w:color w:val="000000"/>
              <w:sz w:val="20"/>
            </w:rPr>
            <w:t>3</w:t>
          </w:r>
          <w:r>
            <w:rPr>
              <w:rFonts w:ascii="Century Gothic" w:eastAsia="Century Gothic" w:hAnsi="Century Gothic" w:cs="Century Gothic"/>
              <w:b/>
              <w:bCs/>
              <w:color w:val="000000"/>
              <w:sz w:val="20"/>
              <w:vertAlign w:val="superscript"/>
            </w:rPr>
            <w:t>rd</w:t>
          </w:r>
          <w:r w:rsidRPr="0023693C">
            <w:rPr>
              <w:rFonts w:ascii="Century Gothic" w:eastAsia="Century Gothic" w:hAnsi="Century Gothic" w:cs="Century Gothic"/>
              <w:b/>
              <w:bCs/>
              <w:color w:val="000000"/>
              <w:sz w:val="20"/>
            </w:rPr>
            <w:t xml:space="preserve"> ITB Graduate School Conference</w:t>
          </w:r>
        </w:p>
        <w:p w14:paraId="39B0FB2C" w14:textId="77777777" w:rsidR="009D0887" w:rsidRPr="006C563E" w:rsidRDefault="009D0887" w:rsidP="009D0887">
          <w:pPr>
            <w:rPr>
              <w:rFonts w:ascii="Century Gothic" w:eastAsia="Century Gothic" w:hAnsi="Century Gothic" w:cs="Century Gothic"/>
              <w:color w:val="000000"/>
              <w:sz w:val="20"/>
            </w:rPr>
          </w:pPr>
          <w:r>
            <w:rPr>
              <w:rFonts w:ascii="Century Gothic" w:eastAsia="Century Gothic" w:hAnsi="Century Gothic" w:cs="Century Gothic"/>
              <w:color w:val="000000"/>
              <w:sz w:val="20"/>
            </w:rPr>
            <w:t xml:space="preserve">Enhancing Creativity in Research Through Developing Innovative Capabilities </w:t>
          </w:r>
        </w:p>
        <w:p w14:paraId="55A08C38" w14:textId="77777777" w:rsidR="009D0887" w:rsidRPr="00B14E62" w:rsidRDefault="009D0887" w:rsidP="009D0887">
          <w:pPr>
            <w:pStyle w:val="Header"/>
            <w:rPr>
              <w:rFonts w:ascii="Century Gothic" w:hAnsi="Century Gothic"/>
              <w:sz w:val="20"/>
            </w:rPr>
          </w:pPr>
          <w:r>
            <w:rPr>
              <w:rFonts w:ascii="Century Gothic" w:eastAsia="Century Gothic" w:hAnsi="Century Gothic" w:cs="Century Gothic"/>
              <w:color w:val="000000"/>
              <w:sz w:val="20"/>
            </w:rPr>
            <w:t>December</w:t>
          </w:r>
          <w:r w:rsidRPr="006C563E">
            <w:rPr>
              <w:rFonts w:ascii="Century Gothic" w:eastAsia="Century Gothic" w:hAnsi="Century Gothic" w:cs="Century Gothic"/>
              <w:color w:val="000000"/>
              <w:sz w:val="20"/>
            </w:rPr>
            <w:t xml:space="preserve"> 21, 202</w:t>
          </w:r>
          <w:r>
            <w:rPr>
              <w:rFonts w:ascii="Century Gothic" w:eastAsia="Century Gothic" w:hAnsi="Century Gothic" w:cs="Century Gothic"/>
              <w:color w:val="000000"/>
              <w:sz w:val="20"/>
            </w:rPr>
            <w:t>2</w:t>
          </w:r>
        </w:p>
      </w:tc>
      <w:tc>
        <w:tcPr>
          <w:tcW w:w="2016" w:type="dxa"/>
        </w:tcPr>
        <w:p w14:paraId="0B3013E4" w14:textId="77777777" w:rsidR="009D0887" w:rsidRPr="00625193" w:rsidRDefault="009D0887" w:rsidP="009D0887">
          <w:pPr>
            <w:pStyle w:val="Header"/>
            <w:ind w:left="-124"/>
            <w:rPr>
              <w:rFonts w:ascii="Century Gothic" w:hAnsi="Century Gothic"/>
              <w:sz w:val="20"/>
            </w:rPr>
          </w:pPr>
          <w:r w:rsidRPr="00625193">
            <w:rPr>
              <w:rFonts w:ascii="Century Gothic" w:hAnsi="Century Gothic"/>
              <w:sz w:val="20"/>
            </w:rPr>
            <w:t>ISSN: 2963-718X</w:t>
          </w:r>
        </w:p>
      </w:tc>
    </w:tr>
    <w:bookmarkEnd w:id="0"/>
  </w:tbl>
  <w:p w14:paraId="23AD8383" w14:textId="77777777" w:rsidR="00AC08DA" w:rsidRDefault="00AC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3F5"/>
    <w:multiLevelType w:val="hybridMultilevel"/>
    <w:tmpl w:val="DAC67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67B33"/>
    <w:multiLevelType w:val="hybridMultilevel"/>
    <w:tmpl w:val="3D86AC52"/>
    <w:lvl w:ilvl="0" w:tplc="7818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95142"/>
    <w:multiLevelType w:val="multilevel"/>
    <w:tmpl w:val="FA902BE8"/>
    <w:lvl w:ilvl="0">
      <w:start w:val="1"/>
      <w:numFmt w:val="decimal"/>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15:restartNumberingAfterBreak="0">
    <w:nsid w:val="0ED83527"/>
    <w:multiLevelType w:val="hybridMultilevel"/>
    <w:tmpl w:val="CC406370"/>
    <w:lvl w:ilvl="0" w:tplc="F36ACFE2">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327693"/>
    <w:multiLevelType w:val="multilevel"/>
    <w:tmpl w:val="81123148"/>
    <w:lvl w:ilvl="0">
      <w:start w:val="1"/>
      <w:numFmt w:val="decimal"/>
      <w:lvlText w:val="Figure %1"/>
      <w:lvlJc w:val="left"/>
      <w:pPr>
        <w:tabs>
          <w:tab w:val="num" w:pos="1134"/>
        </w:tabs>
        <w:ind w:left="284" w:firstLine="0"/>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11AF22F7"/>
    <w:multiLevelType w:val="multilevel"/>
    <w:tmpl w:val="B3B82CD6"/>
    <w:lvl w:ilvl="0">
      <w:start w:val="1"/>
      <w:numFmt w:val="decimal"/>
      <w:pStyle w:val="Tabel"/>
      <w:lvlText w:val="Tabel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11F76940"/>
    <w:multiLevelType w:val="multilevel"/>
    <w:tmpl w:val="E21CD7BA"/>
    <w:lvl w:ilvl="0">
      <w:start w:val="1"/>
      <w:numFmt w:val="decimal"/>
      <w:suff w:val="space"/>
      <w:lvlText w:val="Figure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23D4F05"/>
    <w:multiLevelType w:val="multilevel"/>
    <w:tmpl w:val="E21CD7BA"/>
    <w:lvl w:ilvl="0">
      <w:start w:val="1"/>
      <w:numFmt w:val="decimal"/>
      <w:suff w:val="space"/>
      <w:lvlText w:val="Figure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42D37A9"/>
    <w:multiLevelType w:val="multilevel"/>
    <w:tmpl w:val="27CC09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D602788"/>
    <w:multiLevelType w:val="multilevel"/>
    <w:tmpl w:val="ED30C8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0076392"/>
    <w:multiLevelType w:val="multilevel"/>
    <w:tmpl w:val="27CC09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D6C387B"/>
    <w:multiLevelType w:val="multilevel"/>
    <w:tmpl w:val="C896B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D67116"/>
    <w:multiLevelType w:val="multilevel"/>
    <w:tmpl w:val="299A7C7A"/>
    <w:lvl w:ilvl="0">
      <w:start w:val="1"/>
      <w:numFmt w:val="decimal"/>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F8E14CC"/>
    <w:multiLevelType w:val="multilevel"/>
    <w:tmpl w:val="D7963AB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9455DEE"/>
    <w:multiLevelType w:val="multilevel"/>
    <w:tmpl w:val="54DE5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A965199"/>
    <w:multiLevelType w:val="multilevel"/>
    <w:tmpl w:val="299A7C7A"/>
    <w:lvl w:ilvl="0">
      <w:start w:val="1"/>
      <w:numFmt w:val="decimal"/>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420E65AD"/>
    <w:multiLevelType w:val="hybridMultilevel"/>
    <w:tmpl w:val="E0D027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32911"/>
    <w:multiLevelType w:val="multilevel"/>
    <w:tmpl w:val="56D4942E"/>
    <w:lvl w:ilvl="0">
      <w:start w:val="1"/>
      <w:numFmt w:val="decimal"/>
      <w:suff w:val="space"/>
      <w:lvlText w:val="Table %1"/>
      <w:lvlJc w:val="left"/>
      <w:pPr>
        <w:ind w:left="567" w:hanging="567"/>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54776B0"/>
    <w:multiLevelType w:val="multilevel"/>
    <w:tmpl w:val="7B40DC2E"/>
    <w:lvl w:ilvl="0">
      <w:start w:val="1"/>
      <w:numFmt w:val="decimal"/>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455E6D42"/>
    <w:multiLevelType w:val="multilevel"/>
    <w:tmpl w:val="839EA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482AA3"/>
    <w:multiLevelType w:val="multilevel"/>
    <w:tmpl w:val="54DE5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252BD1"/>
    <w:multiLevelType w:val="multilevel"/>
    <w:tmpl w:val="E21CD7BA"/>
    <w:lvl w:ilvl="0">
      <w:start w:val="1"/>
      <w:numFmt w:val="decimal"/>
      <w:suff w:val="space"/>
      <w:lvlText w:val="Figure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2B83444"/>
    <w:multiLevelType w:val="multilevel"/>
    <w:tmpl w:val="ACA01CF2"/>
    <w:lvl w:ilvl="0">
      <w:start w:val="1"/>
      <w:numFmt w:val="decimal"/>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82427F4"/>
    <w:multiLevelType w:val="hybridMultilevel"/>
    <w:tmpl w:val="DEE2118E"/>
    <w:lvl w:ilvl="0" w:tplc="154C59B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ED4C98"/>
    <w:multiLevelType w:val="multilevel"/>
    <w:tmpl w:val="2612F150"/>
    <w:lvl w:ilvl="0">
      <w:start w:val="1"/>
      <w:numFmt w:val="decimal"/>
      <w:lvlText w:val="Figure %1"/>
      <w:lvlJc w:val="left"/>
      <w:pPr>
        <w:tabs>
          <w:tab w:val="num" w:pos="1134"/>
        </w:tabs>
        <w:ind w:left="284" w:firstLine="0"/>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5DC87FD9"/>
    <w:multiLevelType w:val="multilevel"/>
    <w:tmpl w:val="8C88D5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bC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5EB80BF2"/>
    <w:multiLevelType w:val="hybridMultilevel"/>
    <w:tmpl w:val="1BDE70E0"/>
    <w:lvl w:ilvl="0" w:tplc="6ABE7056">
      <w:start w:val="7"/>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0B4372"/>
    <w:multiLevelType w:val="multilevel"/>
    <w:tmpl w:val="5F6874EA"/>
    <w:lvl w:ilvl="0">
      <w:start w:val="1"/>
      <w:numFmt w:val="decimal"/>
      <w:lvlText w:val="%1."/>
      <w:lvlJc w:val="left"/>
      <w:pPr>
        <w:ind w:left="720" w:hanging="360"/>
      </w:pPr>
      <w:rPr>
        <w:rFonts w:ascii="Trebuchet MS" w:hAnsi="Trebuchet MS" w:cs="Trebuchet MS" w:hint="default"/>
        <w:b/>
        <w:sz w:val="24"/>
        <w:szCs w:val="24"/>
      </w:rPr>
    </w:lvl>
    <w:lvl w:ilvl="1">
      <w:start w:val="1"/>
      <w:numFmt w:val="decimal"/>
      <w:isLgl/>
      <w:lvlText w:val="%1.%2"/>
      <w:lvlJc w:val="left"/>
      <w:pPr>
        <w:ind w:left="732" w:hanging="37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2" w15:restartNumberingAfterBreak="0">
    <w:nsid w:val="78692A46"/>
    <w:multiLevelType w:val="multilevel"/>
    <w:tmpl w:val="683C569C"/>
    <w:lvl w:ilvl="0">
      <w:start w:val="1"/>
      <w:numFmt w:val="decimal"/>
      <w:pStyle w:val="Gambar"/>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3" w15:restartNumberingAfterBreak="0">
    <w:nsid w:val="7E402863"/>
    <w:multiLevelType w:val="hybridMultilevel"/>
    <w:tmpl w:val="55CA8B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717496">
    <w:abstractNumId w:val="17"/>
  </w:num>
  <w:num w:numId="2" w16cid:durableId="1009256726">
    <w:abstractNumId w:val="29"/>
  </w:num>
  <w:num w:numId="3" w16cid:durableId="139466544">
    <w:abstractNumId w:val="28"/>
  </w:num>
  <w:num w:numId="4" w16cid:durableId="1348797973">
    <w:abstractNumId w:val="8"/>
  </w:num>
  <w:num w:numId="5" w16cid:durableId="1522665415">
    <w:abstractNumId w:val="15"/>
  </w:num>
  <w:num w:numId="6" w16cid:durableId="2092657232">
    <w:abstractNumId w:val="24"/>
  </w:num>
  <w:num w:numId="7" w16cid:durableId="1639796144">
    <w:abstractNumId w:val="3"/>
  </w:num>
  <w:num w:numId="8" w16cid:durableId="1943102668">
    <w:abstractNumId w:val="11"/>
  </w:num>
  <w:num w:numId="9" w16cid:durableId="440535785">
    <w:abstractNumId w:val="3"/>
    <w:lvlOverride w:ilvl="0">
      <w:startOverride w:val="1"/>
    </w:lvlOverride>
  </w:num>
  <w:num w:numId="10" w16cid:durableId="1073432995">
    <w:abstractNumId w:val="22"/>
  </w:num>
  <w:num w:numId="11" w16cid:durableId="1492989257">
    <w:abstractNumId w:val="13"/>
  </w:num>
  <w:num w:numId="12" w16cid:durableId="937253391">
    <w:abstractNumId w:val="30"/>
  </w:num>
  <w:num w:numId="13" w16cid:durableId="1023435186">
    <w:abstractNumId w:val="30"/>
    <w:lvlOverride w:ilvl="0">
      <w:startOverride w:val="1"/>
    </w:lvlOverride>
  </w:num>
  <w:num w:numId="14" w16cid:durableId="1841501638">
    <w:abstractNumId w:val="10"/>
  </w:num>
  <w:num w:numId="15" w16cid:durableId="615216338">
    <w:abstractNumId w:val="6"/>
  </w:num>
  <w:num w:numId="16" w16cid:durableId="1182353308">
    <w:abstractNumId w:val="5"/>
  </w:num>
  <w:num w:numId="17" w16cid:durableId="1928685540">
    <w:abstractNumId w:val="30"/>
    <w:lvlOverride w:ilvl="0">
      <w:startOverride w:val="1"/>
    </w:lvlOverride>
  </w:num>
  <w:num w:numId="18" w16cid:durableId="1483741764">
    <w:abstractNumId w:val="9"/>
  </w:num>
  <w:num w:numId="19" w16cid:durableId="952395788">
    <w:abstractNumId w:val="14"/>
  </w:num>
  <w:num w:numId="20" w16cid:durableId="1329673814">
    <w:abstractNumId w:val="7"/>
  </w:num>
  <w:num w:numId="21" w16cid:durableId="591205314">
    <w:abstractNumId w:val="20"/>
  </w:num>
  <w:num w:numId="22" w16cid:durableId="1285500301">
    <w:abstractNumId w:val="4"/>
  </w:num>
  <w:num w:numId="23" w16cid:durableId="772288506">
    <w:abstractNumId w:val="27"/>
  </w:num>
  <w:num w:numId="24" w16cid:durableId="444275863">
    <w:abstractNumId w:val="32"/>
  </w:num>
  <w:num w:numId="25" w16cid:durableId="759831069">
    <w:abstractNumId w:val="12"/>
  </w:num>
  <w:num w:numId="26" w16cid:durableId="525799051">
    <w:abstractNumId w:val="2"/>
  </w:num>
  <w:num w:numId="27" w16cid:durableId="1117722253">
    <w:abstractNumId w:val="25"/>
  </w:num>
  <w:num w:numId="28" w16cid:durableId="1743526991">
    <w:abstractNumId w:val="18"/>
  </w:num>
  <w:num w:numId="29" w16cid:durableId="2080931783">
    <w:abstractNumId w:val="21"/>
  </w:num>
  <w:num w:numId="30" w16cid:durableId="1202552211">
    <w:abstractNumId w:val="16"/>
  </w:num>
  <w:num w:numId="31" w16cid:durableId="1853104125">
    <w:abstractNumId w:val="23"/>
  </w:num>
  <w:num w:numId="32" w16cid:durableId="1949265675">
    <w:abstractNumId w:val="1"/>
  </w:num>
  <w:num w:numId="33" w16cid:durableId="1954021467">
    <w:abstractNumId w:val="26"/>
  </w:num>
  <w:num w:numId="34" w16cid:durableId="45108782">
    <w:abstractNumId w:val="0"/>
  </w:num>
  <w:num w:numId="35" w16cid:durableId="152962221">
    <w:abstractNumId w:val="19"/>
  </w:num>
  <w:num w:numId="36" w16cid:durableId="814028529">
    <w:abstractNumId w:val="31"/>
  </w:num>
  <w:num w:numId="37" w16cid:durableId="16977275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FF"/>
    <w:rsid w:val="00014B73"/>
    <w:rsid w:val="0004272C"/>
    <w:rsid w:val="00045BB4"/>
    <w:rsid w:val="000564D6"/>
    <w:rsid w:val="00064259"/>
    <w:rsid w:val="000976AA"/>
    <w:rsid w:val="000C67D9"/>
    <w:rsid w:val="000E58EF"/>
    <w:rsid w:val="000E5CAD"/>
    <w:rsid w:val="000F5A25"/>
    <w:rsid w:val="00100EB9"/>
    <w:rsid w:val="001103B2"/>
    <w:rsid w:val="00163FBC"/>
    <w:rsid w:val="00165459"/>
    <w:rsid w:val="001D1B80"/>
    <w:rsid w:val="001F3100"/>
    <w:rsid w:val="002119E7"/>
    <w:rsid w:val="00230FD6"/>
    <w:rsid w:val="00237005"/>
    <w:rsid w:val="0024330D"/>
    <w:rsid w:val="00266963"/>
    <w:rsid w:val="00283AD2"/>
    <w:rsid w:val="002B3443"/>
    <w:rsid w:val="00304981"/>
    <w:rsid w:val="0031033B"/>
    <w:rsid w:val="003A3F99"/>
    <w:rsid w:val="003B5137"/>
    <w:rsid w:val="003E00BF"/>
    <w:rsid w:val="00451E3C"/>
    <w:rsid w:val="00492C95"/>
    <w:rsid w:val="004E51FF"/>
    <w:rsid w:val="004E7D1C"/>
    <w:rsid w:val="004F396F"/>
    <w:rsid w:val="005517DE"/>
    <w:rsid w:val="00581F07"/>
    <w:rsid w:val="005A621A"/>
    <w:rsid w:val="005B6400"/>
    <w:rsid w:val="005C1E6A"/>
    <w:rsid w:val="005D00E5"/>
    <w:rsid w:val="00615A8E"/>
    <w:rsid w:val="0065478E"/>
    <w:rsid w:val="00661BBA"/>
    <w:rsid w:val="00697225"/>
    <w:rsid w:val="006A3FB2"/>
    <w:rsid w:val="006B402A"/>
    <w:rsid w:val="00725519"/>
    <w:rsid w:val="00725BC9"/>
    <w:rsid w:val="007508C4"/>
    <w:rsid w:val="007870FE"/>
    <w:rsid w:val="00806633"/>
    <w:rsid w:val="00821494"/>
    <w:rsid w:val="00892C2B"/>
    <w:rsid w:val="008E3835"/>
    <w:rsid w:val="008F1C81"/>
    <w:rsid w:val="00921FD9"/>
    <w:rsid w:val="00923CFA"/>
    <w:rsid w:val="009333E6"/>
    <w:rsid w:val="00960B3D"/>
    <w:rsid w:val="009C14F5"/>
    <w:rsid w:val="009C533C"/>
    <w:rsid w:val="009D0887"/>
    <w:rsid w:val="009E61B4"/>
    <w:rsid w:val="009F73E5"/>
    <w:rsid w:val="00A35980"/>
    <w:rsid w:val="00A4635D"/>
    <w:rsid w:val="00A7534A"/>
    <w:rsid w:val="00A75D14"/>
    <w:rsid w:val="00A8316D"/>
    <w:rsid w:val="00A90969"/>
    <w:rsid w:val="00AB5699"/>
    <w:rsid w:val="00AC08DA"/>
    <w:rsid w:val="00B1478F"/>
    <w:rsid w:val="00B211A7"/>
    <w:rsid w:val="00B93B7D"/>
    <w:rsid w:val="00B95452"/>
    <w:rsid w:val="00BB7745"/>
    <w:rsid w:val="00BD1892"/>
    <w:rsid w:val="00BF577F"/>
    <w:rsid w:val="00C05A48"/>
    <w:rsid w:val="00C8672B"/>
    <w:rsid w:val="00D314F9"/>
    <w:rsid w:val="00D755E5"/>
    <w:rsid w:val="00DB1BCF"/>
    <w:rsid w:val="00DF5360"/>
    <w:rsid w:val="00E02D5B"/>
    <w:rsid w:val="00E30449"/>
    <w:rsid w:val="00E372F8"/>
    <w:rsid w:val="00E6191C"/>
    <w:rsid w:val="00E7253D"/>
    <w:rsid w:val="00E970A7"/>
    <w:rsid w:val="00ED5BC2"/>
    <w:rsid w:val="00F20140"/>
    <w:rsid w:val="00FA740B"/>
    <w:rsid w:val="00FE0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B1083"/>
  <w15:chartTrackingRefBased/>
  <w15:docId w15:val="{E3988F94-BB1E-4429-AB81-799ED855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780"/>
    <w:rPr>
      <w:sz w:val="24"/>
    </w:rPr>
  </w:style>
  <w:style w:type="paragraph" w:styleId="Heading1">
    <w:name w:val="heading 1"/>
    <w:basedOn w:val="Normal"/>
    <w:next w:val="Normal"/>
    <w:link w:val="Heading1Char"/>
    <w:qFormat/>
    <w:rsid w:val="00472D30"/>
    <w:pPr>
      <w:keepNext/>
      <w:numPr>
        <w:numId w:val="3"/>
      </w:numPr>
      <w:tabs>
        <w:tab w:val="clear" w:pos="432"/>
      </w:tabs>
      <w:spacing w:before="360" w:after="120"/>
      <w:ind w:left="720" w:hanging="720"/>
      <w:outlineLvl w:val="0"/>
    </w:pPr>
    <w:rPr>
      <w:rFonts w:cs="Arial"/>
      <w:b/>
      <w:bCs/>
      <w:kern w:val="32"/>
      <w:szCs w:val="32"/>
    </w:rPr>
  </w:style>
  <w:style w:type="paragraph" w:styleId="Heading2">
    <w:name w:val="heading 2"/>
    <w:basedOn w:val="Normal"/>
    <w:next w:val="Normal"/>
    <w:qFormat/>
    <w:rsid w:val="00472D30"/>
    <w:pPr>
      <w:keepNext/>
      <w:numPr>
        <w:ilvl w:val="1"/>
        <w:numId w:val="3"/>
      </w:numPr>
      <w:tabs>
        <w:tab w:val="clear" w:pos="576"/>
      </w:tabs>
      <w:spacing w:before="240" w:after="120"/>
      <w:ind w:left="720" w:hanging="720"/>
      <w:outlineLvl w:val="1"/>
    </w:pPr>
    <w:rPr>
      <w:rFonts w:cs="Arial"/>
      <w:b/>
      <w:bCs/>
      <w:iCs/>
      <w:szCs w:val="28"/>
    </w:rPr>
  </w:style>
  <w:style w:type="paragraph" w:styleId="Heading3">
    <w:name w:val="heading 3"/>
    <w:basedOn w:val="Normal"/>
    <w:next w:val="Normal"/>
    <w:qFormat/>
    <w:rsid w:val="00472D30"/>
    <w:pPr>
      <w:keepNext/>
      <w:numPr>
        <w:ilvl w:val="2"/>
        <w:numId w:val="3"/>
      </w:numPr>
      <w:spacing w:before="240" w:after="120"/>
      <w:outlineLvl w:val="2"/>
    </w:pPr>
    <w:rPr>
      <w:rFonts w:cs="Arial"/>
      <w:b/>
      <w:bCs/>
      <w:szCs w:val="26"/>
    </w:rPr>
  </w:style>
  <w:style w:type="paragraph" w:styleId="Heading4">
    <w:name w:val="heading 4"/>
    <w:basedOn w:val="Normal"/>
    <w:next w:val="Normal"/>
    <w:qFormat/>
    <w:rsid w:val="00472D30"/>
    <w:pPr>
      <w:keepNext/>
      <w:numPr>
        <w:ilvl w:val="3"/>
        <w:numId w:val="3"/>
      </w:numPr>
      <w:spacing w:before="240" w:after="120"/>
      <w:ind w:left="862" w:hanging="862"/>
      <w:outlineLvl w:val="3"/>
    </w:pPr>
    <w:rPr>
      <w:b/>
      <w:bCs/>
      <w:szCs w:val="28"/>
    </w:rPr>
  </w:style>
  <w:style w:type="paragraph" w:styleId="Heading5">
    <w:name w:val="heading 5"/>
    <w:basedOn w:val="Normal"/>
    <w:next w:val="Normal"/>
    <w:qFormat/>
    <w:rsid w:val="00472D30"/>
    <w:pPr>
      <w:numPr>
        <w:ilvl w:val="4"/>
        <w:numId w:val="3"/>
      </w:numPr>
      <w:spacing w:before="240" w:after="120"/>
      <w:ind w:left="1009" w:hanging="1009"/>
      <w:outlineLvl w:val="4"/>
    </w:pPr>
    <w:rPr>
      <w:b/>
      <w:bCs/>
      <w:iCs/>
      <w:szCs w:val="26"/>
    </w:rPr>
  </w:style>
  <w:style w:type="paragraph" w:styleId="Heading6">
    <w:name w:val="heading 6"/>
    <w:basedOn w:val="Normal"/>
    <w:next w:val="Normal"/>
    <w:qFormat/>
    <w:rsid w:val="00472D30"/>
    <w:pPr>
      <w:numPr>
        <w:ilvl w:val="5"/>
        <w:numId w:val="3"/>
      </w:numPr>
      <w:spacing w:before="240" w:after="120"/>
      <w:ind w:left="1151" w:hanging="1151"/>
      <w:outlineLvl w:val="5"/>
    </w:pPr>
    <w:rPr>
      <w:b/>
      <w:bCs/>
      <w:szCs w:val="22"/>
    </w:rPr>
  </w:style>
  <w:style w:type="paragraph" w:styleId="Heading7">
    <w:name w:val="heading 7"/>
    <w:basedOn w:val="Normal"/>
    <w:next w:val="Normal"/>
    <w:qFormat/>
    <w:rsid w:val="00472D30"/>
    <w:pPr>
      <w:numPr>
        <w:ilvl w:val="6"/>
        <w:numId w:val="3"/>
      </w:numPr>
      <w:spacing w:before="240" w:after="120"/>
      <w:ind w:left="1298" w:hanging="1298"/>
      <w:outlineLvl w:val="6"/>
    </w:pPr>
    <w:rPr>
      <w:b/>
      <w:szCs w:val="24"/>
    </w:rPr>
  </w:style>
  <w:style w:type="paragraph" w:styleId="Heading8">
    <w:name w:val="heading 8"/>
    <w:basedOn w:val="Normal"/>
    <w:next w:val="Normal"/>
    <w:qFormat/>
    <w:rsid w:val="00472D30"/>
    <w:pPr>
      <w:numPr>
        <w:ilvl w:val="7"/>
        <w:numId w:val="3"/>
      </w:numPr>
      <w:spacing w:before="240" w:after="120"/>
      <w:outlineLvl w:val="7"/>
    </w:pPr>
    <w:rPr>
      <w:b/>
      <w:iCs/>
      <w:szCs w:val="24"/>
    </w:rPr>
  </w:style>
  <w:style w:type="paragraph" w:styleId="Heading9">
    <w:name w:val="heading 9"/>
    <w:basedOn w:val="Normal"/>
    <w:next w:val="Normal"/>
    <w:qFormat/>
    <w:rsid w:val="00472D30"/>
    <w:pPr>
      <w:numPr>
        <w:ilvl w:val="8"/>
        <w:numId w:val="3"/>
      </w:numPr>
      <w:spacing w:before="240" w:after="120"/>
      <w:ind w:left="1582" w:hanging="1582"/>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780"/>
    <w:pPr>
      <w:tabs>
        <w:tab w:val="center" w:pos="4320"/>
        <w:tab w:val="right" w:pos="8640"/>
      </w:tabs>
    </w:pPr>
  </w:style>
  <w:style w:type="paragraph" w:styleId="Footer">
    <w:name w:val="footer"/>
    <w:basedOn w:val="Normal"/>
    <w:link w:val="FooterChar"/>
    <w:uiPriority w:val="99"/>
    <w:rsid w:val="004E3780"/>
    <w:pPr>
      <w:tabs>
        <w:tab w:val="center" w:pos="4320"/>
        <w:tab w:val="right" w:pos="8640"/>
      </w:tabs>
    </w:pPr>
  </w:style>
  <w:style w:type="character" w:styleId="PageNumber">
    <w:name w:val="page number"/>
    <w:basedOn w:val="DefaultParagraphFont"/>
    <w:rsid w:val="004E3780"/>
  </w:style>
  <w:style w:type="table" w:styleId="TableGrid">
    <w:name w:val="Table Grid"/>
    <w:basedOn w:val="TableNormal"/>
    <w:rsid w:val="00082E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22102F"/>
    <w:pPr>
      <w:spacing w:after="240"/>
      <w:jc w:val="center"/>
    </w:pPr>
    <w:rPr>
      <w:b/>
      <w:sz w:val="28"/>
    </w:rPr>
  </w:style>
  <w:style w:type="paragraph" w:styleId="BalloonText">
    <w:name w:val="Balloon Text"/>
    <w:basedOn w:val="Normal"/>
    <w:semiHidden/>
    <w:rsid w:val="00C40B98"/>
    <w:rPr>
      <w:rFonts w:ascii="Tahoma" w:hAnsi="Tahoma" w:cs="Tahoma"/>
      <w:sz w:val="16"/>
      <w:szCs w:val="16"/>
    </w:rPr>
  </w:style>
  <w:style w:type="paragraph" w:styleId="FootnoteText">
    <w:name w:val="footnote text"/>
    <w:basedOn w:val="Normal"/>
    <w:semiHidden/>
    <w:rsid w:val="0015040A"/>
    <w:rPr>
      <w:sz w:val="20"/>
    </w:rPr>
  </w:style>
  <w:style w:type="character" w:styleId="FootnoteReference">
    <w:name w:val="footnote reference"/>
    <w:semiHidden/>
    <w:rsid w:val="0015040A"/>
    <w:rPr>
      <w:vertAlign w:val="superscript"/>
    </w:rPr>
  </w:style>
  <w:style w:type="paragraph" w:customStyle="1" w:styleId="StyleTitleNotBold">
    <w:name w:val="Style Title + Not Bold"/>
    <w:basedOn w:val="Title"/>
    <w:rsid w:val="00C54CAD"/>
  </w:style>
  <w:style w:type="paragraph" w:customStyle="1" w:styleId="Author">
    <w:name w:val="Author"/>
    <w:basedOn w:val="Normal"/>
    <w:rsid w:val="0022102F"/>
    <w:pPr>
      <w:spacing w:after="240"/>
      <w:jc w:val="center"/>
    </w:pPr>
    <w:rPr>
      <w:b/>
      <w:sz w:val="20"/>
    </w:rPr>
  </w:style>
  <w:style w:type="paragraph" w:customStyle="1" w:styleId="Abstract">
    <w:name w:val="Abstract"/>
    <w:basedOn w:val="Normal"/>
    <w:rsid w:val="0022102F"/>
    <w:pPr>
      <w:spacing w:after="240"/>
      <w:ind w:left="284" w:right="284"/>
      <w:jc w:val="both"/>
    </w:pPr>
    <w:rPr>
      <w:sz w:val="20"/>
    </w:rPr>
  </w:style>
  <w:style w:type="paragraph" w:customStyle="1" w:styleId="Keywords">
    <w:name w:val="Keywords"/>
    <w:basedOn w:val="Normal"/>
    <w:rsid w:val="0022102F"/>
    <w:pPr>
      <w:spacing w:after="240"/>
      <w:jc w:val="both"/>
    </w:pPr>
    <w:rPr>
      <w:i/>
      <w:sz w:val="20"/>
    </w:rPr>
  </w:style>
  <w:style w:type="paragraph" w:customStyle="1" w:styleId="Text">
    <w:name w:val="Text"/>
    <w:basedOn w:val="Normal"/>
    <w:link w:val="TextChar"/>
    <w:rsid w:val="00D33FC6"/>
    <w:pPr>
      <w:spacing w:after="240"/>
      <w:jc w:val="both"/>
    </w:pPr>
    <w:rPr>
      <w:sz w:val="22"/>
      <w:szCs w:val="22"/>
      <w:lang w:val="x-none" w:eastAsia="x-none"/>
    </w:rPr>
  </w:style>
  <w:style w:type="paragraph" w:customStyle="1" w:styleId="Equation">
    <w:name w:val="Equation"/>
    <w:basedOn w:val="Normal"/>
    <w:link w:val="EquationChar"/>
    <w:rsid w:val="00440231"/>
    <w:pPr>
      <w:tabs>
        <w:tab w:val="left" w:pos="720"/>
        <w:tab w:val="right" w:pos="7088"/>
      </w:tabs>
      <w:spacing w:before="120" w:after="120"/>
      <w:jc w:val="both"/>
    </w:pPr>
    <w:rPr>
      <w:sz w:val="22"/>
    </w:rPr>
  </w:style>
  <w:style w:type="paragraph" w:customStyle="1" w:styleId="Address">
    <w:name w:val="Address"/>
    <w:basedOn w:val="Normal"/>
    <w:link w:val="AddressChar"/>
    <w:rsid w:val="00291143"/>
    <w:pPr>
      <w:jc w:val="center"/>
    </w:pPr>
    <w:rPr>
      <w:sz w:val="20"/>
    </w:rPr>
  </w:style>
  <w:style w:type="character" w:customStyle="1" w:styleId="EquationChar">
    <w:name w:val="Equation Char"/>
    <w:link w:val="Equation"/>
    <w:rsid w:val="00440231"/>
    <w:rPr>
      <w:sz w:val="22"/>
      <w:lang w:val="en-US" w:eastAsia="en-US" w:bidi="ar-SA"/>
    </w:rPr>
  </w:style>
  <w:style w:type="character" w:customStyle="1" w:styleId="AddressChar">
    <w:name w:val="Address Char"/>
    <w:link w:val="Address"/>
    <w:rsid w:val="00291143"/>
    <w:rPr>
      <w:lang w:val="en-US" w:eastAsia="en-US" w:bidi="ar-SA"/>
    </w:rPr>
  </w:style>
  <w:style w:type="paragraph" w:customStyle="1" w:styleId="Figure">
    <w:name w:val="Figure"/>
    <w:basedOn w:val="Normal"/>
    <w:rsid w:val="00262298"/>
    <w:pPr>
      <w:numPr>
        <w:numId w:val="5"/>
      </w:numPr>
      <w:spacing w:before="120" w:after="120"/>
      <w:ind w:right="284"/>
      <w:jc w:val="both"/>
    </w:pPr>
    <w:rPr>
      <w:sz w:val="20"/>
    </w:rPr>
  </w:style>
  <w:style w:type="paragraph" w:customStyle="1" w:styleId="Reference">
    <w:name w:val="Reference"/>
    <w:basedOn w:val="Normal"/>
    <w:rsid w:val="00492C95"/>
    <w:pPr>
      <w:numPr>
        <w:numId w:val="1"/>
      </w:numPr>
      <w:jc w:val="both"/>
    </w:pPr>
    <w:rPr>
      <w:sz w:val="22"/>
      <w:szCs w:val="22"/>
    </w:rPr>
  </w:style>
  <w:style w:type="paragraph" w:customStyle="1" w:styleId="Enumeration">
    <w:name w:val="Enumeration"/>
    <w:basedOn w:val="Normal"/>
    <w:rsid w:val="000411FB"/>
    <w:pPr>
      <w:numPr>
        <w:numId w:val="12"/>
      </w:numPr>
      <w:spacing w:line="480" w:lineRule="auto"/>
      <w:jc w:val="both"/>
    </w:pPr>
    <w:rPr>
      <w:sz w:val="22"/>
      <w:szCs w:val="22"/>
    </w:rPr>
  </w:style>
  <w:style w:type="character" w:customStyle="1" w:styleId="TextChar">
    <w:name w:val="Text Char"/>
    <w:link w:val="Text"/>
    <w:rsid w:val="00D33FC6"/>
    <w:rPr>
      <w:sz w:val="22"/>
      <w:szCs w:val="22"/>
    </w:rPr>
  </w:style>
  <w:style w:type="paragraph" w:customStyle="1" w:styleId="Table">
    <w:name w:val="Table"/>
    <w:basedOn w:val="Normal"/>
    <w:rsid w:val="00262298"/>
    <w:pPr>
      <w:numPr>
        <w:numId w:val="28"/>
      </w:numPr>
      <w:spacing w:before="120" w:after="120"/>
      <w:ind w:right="284"/>
      <w:jc w:val="both"/>
    </w:pPr>
    <w:rPr>
      <w:sz w:val="20"/>
    </w:rPr>
  </w:style>
  <w:style w:type="paragraph" w:customStyle="1" w:styleId="AuthorHeader">
    <w:name w:val="Author Header"/>
    <w:basedOn w:val="Header"/>
    <w:rsid w:val="00031334"/>
    <w:pPr>
      <w:jc w:val="center"/>
    </w:pPr>
    <w:rPr>
      <w:rFonts w:ascii="Century Gothic" w:hAnsi="Century Gothic"/>
      <w:sz w:val="22"/>
      <w:szCs w:val="22"/>
    </w:rPr>
  </w:style>
  <w:style w:type="paragraph" w:customStyle="1" w:styleId="TitleHeader">
    <w:name w:val="Title Header"/>
    <w:basedOn w:val="Normal"/>
    <w:rsid w:val="00031334"/>
    <w:pPr>
      <w:jc w:val="center"/>
    </w:pPr>
    <w:rPr>
      <w:rFonts w:ascii="Century Gothic" w:hAnsi="Century Gothic"/>
      <w:sz w:val="22"/>
      <w:szCs w:val="22"/>
    </w:rPr>
  </w:style>
  <w:style w:type="paragraph" w:customStyle="1" w:styleId="Acknowledge">
    <w:name w:val="Acknowledge"/>
    <w:basedOn w:val="Reference"/>
    <w:rsid w:val="002F5404"/>
    <w:pPr>
      <w:numPr>
        <w:numId w:val="0"/>
      </w:numPr>
      <w:spacing w:before="240" w:after="120"/>
    </w:pPr>
    <w:rPr>
      <w:b/>
      <w:sz w:val="24"/>
    </w:rPr>
  </w:style>
  <w:style w:type="paragraph" w:customStyle="1" w:styleId="Picture">
    <w:name w:val="Picture"/>
    <w:basedOn w:val="Text"/>
    <w:rsid w:val="0022102F"/>
  </w:style>
  <w:style w:type="paragraph" w:customStyle="1" w:styleId="Gambar">
    <w:name w:val="Gambar"/>
    <w:basedOn w:val="Normal"/>
    <w:rsid w:val="00262298"/>
    <w:pPr>
      <w:numPr>
        <w:numId w:val="24"/>
      </w:numPr>
      <w:tabs>
        <w:tab w:val="clear" w:pos="1134"/>
        <w:tab w:val="num" w:pos="1361"/>
      </w:tabs>
      <w:spacing w:before="120" w:after="120"/>
      <w:ind w:right="284"/>
      <w:jc w:val="both"/>
    </w:pPr>
    <w:rPr>
      <w:sz w:val="20"/>
    </w:rPr>
  </w:style>
  <w:style w:type="paragraph" w:customStyle="1" w:styleId="Tabel">
    <w:name w:val="Tabel"/>
    <w:basedOn w:val="Table"/>
    <w:rsid w:val="0063776F"/>
    <w:pPr>
      <w:numPr>
        <w:numId w:val="16"/>
      </w:numPr>
      <w:ind w:left="284" w:firstLine="0"/>
    </w:pPr>
  </w:style>
  <w:style w:type="character" w:styleId="LineNumber">
    <w:name w:val="line number"/>
    <w:basedOn w:val="DefaultParagraphFont"/>
    <w:rsid w:val="000411FB"/>
  </w:style>
  <w:style w:type="character" w:styleId="CommentReference">
    <w:name w:val="annotation reference"/>
    <w:rsid w:val="009206F1"/>
    <w:rPr>
      <w:sz w:val="16"/>
      <w:szCs w:val="16"/>
    </w:rPr>
  </w:style>
  <w:style w:type="paragraph" w:styleId="CommentText">
    <w:name w:val="annotation text"/>
    <w:basedOn w:val="Normal"/>
    <w:link w:val="CommentTextChar"/>
    <w:rsid w:val="009206F1"/>
    <w:rPr>
      <w:sz w:val="20"/>
    </w:rPr>
  </w:style>
  <w:style w:type="character" w:customStyle="1" w:styleId="CommentTextChar">
    <w:name w:val="Comment Text Char"/>
    <w:basedOn w:val="DefaultParagraphFont"/>
    <w:link w:val="CommentText"/>
    <w:rsid w:val="009206F1"/>
  </w:style>
  <w:style w:type="paragraph" w:styleId="CommentSubject">
    <w:name w:val="annotation subject"/>
    <w:basedOn w:val="CommentText"/>
    <w:next w:val="CommentText"/>
    <w:link w:val="CommentSubjectChar"/>
    <w:rsid w:val="009206F1"/>
    <w:rPr>
      <w:b/>
      <w:bCs/>
      <w:lang w:val="x-none" w:eastAsia="x-none"/>
    </w:rPr>
  </w:style>
  <w:style w:type="character" w:customStyle="1" w:styleId="CommentSubjectChar">
    <w:name w:val="Comment Subject Char"/>
    <w:link w:val="CommentSubject"/>
    <w:rsid w:val="009206F1"/>
    <w:rPr>
      <w:b/>
      <w:bCs/>
    </w:rPr>
  </w:style>
  <w:style w:type="character" w:customStyle="1" w:styleId="FooterChar">
    <w:name w:val="Footer Char"/>
    <w:link w:val="Footer"/>
    <w:uiPriority w:val="99"/>
    <w:rsid w:val="002B3443"/>
    <w:rPr>
      <w:sz w:val="24"/>
    </w:rPr>
  </w:style>
  <w:style w:type="paragraph" w:styleId="Caption">
    <w:name w:val="caption"/>
    <w:basedOn w:val="Normal"/>
    <w:next w:val="Normal"/>
    <w:uiPriority w:val="35"/>
    <w:unhideWhenUsed/>
    <w:qFormat/>
    <w:rsid w:val="00100EB9"/>
    <w:pPr>
      <w:spacing w:after="200"/>
    </w:pPr>
    <w:rPr>
      <w:rFonts w:asciiTheme="minorHAnsi" w:eastAsiaTheme="minorEastAsia" w:hAnsiTheme="minorHAnsi" w:cstheme="minorBidi"/>
      <w:i/>
      <w:iCs/>
      <w:color w:val="44546A" w:themeColor="text2"/>
      <w:sz w:val="18"/>
      <w:szCs w:val="18"/>
    </w:rPr>
  </w:style>
  <w:style w:type="paragraph" w:styleId="ListParagraph">
    <w:name w:val="List Paragraph"/>
    <w:basedOn w:val="Normal"/>
    <w:uiPriority w:val="34"/>
    <w:qFormat/>
    <w:rsid w:val="00D314F9"/>
    <w:pPr>
      <w:spacing w:after="200" w:line="276"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2119E7"/>
    <w:rPr>
      <w:rFonts w:cs="Arial"/>
      <w:b/>
      <w:bCs/>
      <w:kern w:val="32"/>
      <w:sz w:val="24"/>
      <w:szCs w:val="32"/>
    </w:rPr>
  </w:style>
  <w:style w:type="character" w:customStyle="1" w:styleId="HeaderChar">
    <w:name w:val="Header Char"/>
    <w:basedOn w:val="DefaultParagraphFont"/>
    <w:link w:val="Header"/>
    <w:rsid w:val="009D08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139">
      <w:bodyDiv w:val="1"/>
      <w:marLeft w:val="0"/>
      <w:marRight w:val="0"/>
      <w:marTop w:val="0"/>
      <w:marBottom w:val="0"/>
      <w:divBdr>
        <w:top w:val="none" w:sz="0" w:space="0" w:color="auto"/>
        <w:left w:val="none" w:sz="0" w:space="0" w:color="auto"/>
        <w:bottom w:val="none" w:sz="0" w:space="0" w:color="auto"/>
        <w:right w:val="none" w:sz="0" w:space="0" w:color="auto"/>
      </w:divBdr>
    </w:div>
    <w:div w:id="70201383">
      <w:bodyDiv w:val="1"/>
      <w:marLeft w:val="0"/>
      <w:marRight w:val="0"/>
      <w:marTop w:val="0"/>
      <w:marBottom w:val="0"/>
      <w:divBdr>
        <w:top w:val="none" w:sz="0" w:space="0" w:color="auto"/>
        <w:left w:val="none" w:sz="0" w:space="0" w:color="auto"/>
        <w:bottom w:val="none" w:sz="0" w:space="0" w:color="auto"/>
        <w:right w:val="none" w:sz="0" w:space="0" w:color="auto"/>
      </w:divBdr>
    </w:div>
    <w:div w:id="87846991">
      <w:bodyDiv w:val="1"/>
      <w:marLeft w:val="0"/>
      <w:marRight w:val="0"/>
      <w:marTop w:val="0"/>
      <w:marBottom w:val="0"/>
      <w:divBdr>
        <w:top w:val="none" w:sz="0" w:space="0" w:color="auto"/>
        <w:left w:val="none" w:sz="0" w:space="0" w:color="auto"/>
        <w:bottom w:val="none" w:sz="0" w:space="0" w:color="auto"/>
        <w:right w:val="none" w:sz="0" w:space="0" w:color="auto"/>
      </w:divBdr>
    </w:div>
    <w:div w:id="162087356">
      <w:bodyDiv w:val="1"/>
      <w:marLeft w:val="0"/>
      <w:marRight w:val="0"/>
      <w:marTop w:val="0"/>
      <w:marBottom w:val="0"/>
      <w:divBdr>
        <w:top w:val="none" w:sz="0" w:space="0" w:color="auto"/>
        <w:left w:val="none" w:sz="0" w:space="0" w:color="auto"/>
        <w:bottom w:val="none" w:sz="0" w:space="0" w:color="auto"/>
        <w:right w:val="none" w:sz="0" w:space="0" w:color="auto"/>
      </w:divBdr>
    </w:div>
    <w:div w:id="163713180">
      <w:bodyDiv w:val="1"/>
      <w:marLeft w:val="0"/>
      <w:marRight w:val="0"/>
      <w:marTop w:val="0"/>
      <w:marBottom w:val="0"/>
      <w:divBdr>
        <w:top w:val="none" w:sz="0" w:space="0" w:color="auto"/>
        <w:left w:val="none" w:sz="0" w:space="0" w:color="auto"/>
        <w:bottom w:val="none" w:sz="0" w:space="0" w:color="auto"/>
        <w:right w:val="none" w:sz="0" w:space="0" w:color="auto"/>
      </w:divBdr>
    </w:div>
    <w:div w:id="293996345">
      <w:bodyDiv w:val="1"/>
      <w:marLeft w:val="0"/>
      <w:marRight w:val="0"/>
      <w:marTop w:val="0"/>
      <w:marBottom w:val="0"/>
      <w:divBdr>
        <w:top w:val="none" w:sz="0" w:space="0" w:color="auto"/>
        <w:left w:val="none" w:sz="0" w:space="0" w:color="auto"/>
        <w:bottom w:val="none" w:sz="0" w:space="0" w:color="auto"/>
        <w:right w:val="none" w:sz="0" w:space="0" w:color="auto"/>
      </w:divBdr>
    </w:div>
    <w:div w:id="313994610">
      <w:bodyDiv w:val="1"/>
      <w:marLeft w:val="0"/>
      <w:marRight w:val="0"/>
      <w:marTop w:val="0"/>
      <w:marBottom w:val="0"/>
      <w:divBdr>
        <w:top w:val="none" w:sz="0" w:space="0" w:color="auto"/>
        <w:left w:val="none" w:sz="0" w:space="0" w:color="auto"/>
        <w:bottom w:val="none" w:sz="0" w:space="0" w:color="auto"/>
        <w:right w:val="none" w:sz="0" w:space="0" w:color="auto"/>
      </w:divBdr>
    </w:div>
    <w:div w:id="355545278">
      <w:bodyDiv w:val="1"/>
      <w:marLeft w:val="0"/>
      <w:marRight w:val="0"/>
      <w:marTop w:val="0"/>
      <w:marBottom w:val="0"/>
      <w:divBdr>
        <w:top w:val="none" w:sz="0" w:space="0" w:color="auto"/>
        <w:left w:val="none" w:sz="0" w:space="0" w:color="auto"/>
        <w:bottom w:val="none" w:sz="0" w:space="0" w:color="auto"/>
        <w:right w:val="none" w:sz="0" w:space="0" w:color="auto"/>
      </w:divBdr>
    </w:div>
    <w:div w:id="663319260">
      <w:bodyDiv w:val="1"/>
      <w:marLeft w:val="0"/>
      <w:marRight w:val="0"/>
      <w:marTop w:val="0"/>
      <w:marBottom w:val="0"/>
      <w:divBdr>
        <w:top w:val="none" w:sz="0" w:space="0" w:color="auto"/>
        <w:left w:val="none" w:sz="0" w:space="0" w:color="auto"/>
        <w:bottom w:val="none" w:sz="0" w:space="0" w:color="auto"/>
        <w:right w:val="none" w:sz="0" w:space="0" w:color="auto"/>
      </w:divBdr>
    </w:div>
    <w:div w:id="835026633">
      <w:bodyDiv w:val="1"/>
      <w:marLeft w:val="0"/>
      <w:marRight w:val="0"/>
      <w:marTop w:val="0"/>
      <w:marBottom w:val="0"/>
      <w:divBdr>
        <w:top w:val="none" w:sz="0" w:space="0" w:color="auto"/>
        <w:left w:val="none" w:sz="0" w:space="0" w:color="auto"/>
        <w:bottom w:val="none" w:sz="0" w:space="0" w:color="auto"/>
        <w:right w:val="none" w:sz="0" w:space="0" w:color="auto"/>
      </w:divBdr>
    </w:div>
    <w:div w:id="855966645">
      <w:bodyDiv w:val="1"/>
      <w:marLeft w:val="0"/>
      <w:marRight w:val="0"/>
      <w:marTop w:val="0"/>
      <w:marBottom w:val="0"/>
      <w:divBdr>
        <w:top w:val="none" w:sz="0" w:space="0" w:color="auto"/>
        <w:left w:val="none" w:sz="0" w:space="0" w:color="auto"/>
        <w:bottom w:val="none" w:sz="0" w:space="0" w:color="auto"/>
        <w:right w:val="none" w:sz="0" w:space="0" w:color="auto"/>
      </w:divBdr>
    </w:div>
    <w:div w:id="918830070">
      <w:bodyDiv w:val="1"/>
      <w:marLeft w:val="0"/>
      <w:marRight w:val="0"/>
      <w:marTop w:val="0"/>
      <w:marBottom w:val="0"/>
      <w:divBdr>
        <w:top w:val="none" w:sz="0" w:space="0" w:color="auto"/>
        <w:left w:val="none" w:sz="0" w:space="0" w:color="auto"/>
        <w:bottom w:val="none" w:sz="0" w:space="0" w:color="auto"/>
        <w:right w:val="none" w:sz="0" w:space="0" w:color="auto"/>
      </w:divBdr>
    </w:div>
    <w:div w:id="1054541266">
      <w:bodyDiv w:val="1"/>
      <w:marLeft w:val="0"/>
      <w:marRight w:val="0"/>
      <w:marTop w:val="0"/>
      <w:marBottom w:val="0"/>
      <w:divBdr>
        <w:top w:val="none" w:sz="0" w:space="0" w:color="auto"/>
        <w:left w:val="none" w:sz="0" w:space="0" w:color="auto"/>
        <w:bottom w:val="none" w:sz="0" w:space="0" w:color="auto"/>
        <w:right w:val="none" w:sz="0" w:space="0" w:color="auto"/>
      </w:divBdr>
    </w:div>
    <w:div w:id="1135679859">
      <w:bodyDiv w:val="1"/>
      <w:marLeft w:val="0"/>
      <w:marRight w:val="0"/>
      <w:marTop w:val="0"/>
      <w:marBottom w:val="0"/>
      <w:divBdr>
        <w:top w:val="none" w:sz="0" w:space="0" w:color="auto"/>
        <w:left w:val="none" w:sz="0" w:space="0" w:color="auto"/>
        <w:bottom w:val="none" w:sz="0" w:space="0" w:color="auto"/>
        <w:right w:val="none" w:sz="0" w:space="0" w:color="auto"/>
      </w:divBdr>
    </w:div>
    <w:div w:id="1187214222">
      <w:bodyDiv w:val="1"/>
      <w:marLeft w:val="0"/>
      <w:marRight w:val="0"/>
      <w:marTop w:val="0"/>
      <w:marBottom w:val="0"/>
      <w:divBdr>
        <w:top w:val="none" w:sz="0" w:space="0" w:color="auto"/>
        <w:left w:val="none" w:sz="0" w:space="0" w:color="auto"/>
        <w:bottom w:val="none" w:sz="0" w:space="0" w:color="auto"/>
        <w:right w:val="none" w:sz="0" w:space="0" w:color="auto"/>
      </w:divBdr>
    </w:div>
    <w:div w:id="1261450601">
      <w:bodyDiv w:val="1"/>
      <w:marLeft w:val="0"/>
      <w:marRight w:val="0"/>
      <w:marTop w:val="0"/>
      <w:marBottom w:val="0"/>
      <w:divBdr>
        <w:top w:val="none" w:sz="0" w:space="0" w:color="auto"/>
        <w:left w:val="none" w:sz="0" w:space="0" w:color="auto"/>
        <w:bottom w:val="none" w:sz="0" w:space="0" w:color="auto"/>
        <w:right w:val="none" w:sz="0" w:space="0" w:color="auto"/>
      </w:divBdr>
    </w:div>
    <w:div w:id="1367830787">
      <w:bodyDiv w:val="1"/>
      <w:marLeft w:val="0"/>
      <w:marRight w:val="0"/>
      <w:marTop w:val="0"/>
      <w:marBottom w:val="0"/>
      <w:divBdr>
        <w:top w:val="none" w:sz="0" w:space="0" w:color="auto"/>
        <w:left w:val="none" w:sz="0" w:space="0" w:color="auto"/>
        <w:bottom w:val="none" w:sz="0" w:space="0" w:color="auto"/>
        <w:right w:val="none" w:sz="0" w:space="0" w:color="auto"/>
      </w:divBdr>
    </w:div>
    <w:div w:id="1384402869">
      <w:bodyDiv w:val="1"/>
      <w:marLeft w:val="0"/>
      <w:marRight w:val="0"/>
      <w:marTop w:val="0"/>
      <w:marBottom w:val="0"/>
      <w:divBdr>
        <w:top w:val="none" w:sz="0" w:space="0" w:color="auto"/>
        <w:left w:val="none" w:sz="0" w:space="0" w:color="auto"/>
        <w:bottom w:val="none" w:sz="0" w:space="0" w:color="auto"/>
        <w:right w:val="none" w:sz="0" w:space="0" w:color="auto"/>
      </w:divBdr>
    </w:div>
    <w:div w:id="1485657778">
      <w:bodyDiv w:val="1"/>
      <w:marLeft w:val="0"/>
      <w:marRight w:val="0"/>
      <w:marTop w:val="0"/>
      <w:marBottom w:val="0"/>
      <w:divBdr>
        <w:top w:val="none" w:sz="0" w:space="0" w:color="auto"/>
        <w:left w:val="none" w:sz="0" w:space="0" w:color="auto"/>
        <w:bottom w:val="none" w:sz="0" w:space="0" w:color="auto"/>
        <w:right w:val="none" w:sz="0" w:space="0" w:color="auto"/>
      </w:divBdr>
    </w:div>
    <w:div w:id="1538347035">
      <w:bodyDiv w:val="1"/>
      <w:marLeft w:val="0"/>
      <w:marRight w:val="0"/>
      <w:marTop w:val="0"/>
      <w:marBottom w:val="0"/>
      <w:divBdr>
        <w:top w:val="none" w:sz="0" w:space="0" w:color="auto"/>
        <w:left w:val="none" w:sz="0" w:space="0" w:color="auto"/>
        <w:bottom w:val="none" w:sz="0" w:space="0" w:color="auto"/>
        <w:right w:val="none" w:sz="0" w:space="0" w:color="auto"/>
      </w:divBdr>
    </w:div>
    <w:div w:id="1559972783">
      <w:bodyDiv w:val="1"/>
      <w:marLeft w:val="0"/>
      <w:marRight w:val="0"/>
      <w:marTop w:val="0"/>
      <w:marBottom w:val="0"/>
      <w:divBdr>
        <w:top w:val="none" w:sz="0" w:space="0" w:color="auto"/>
        <w:left w:val="none" w:sz="0" w:space="0" w:color="auto"/>
        <w:bottom w:val="none" w:sz="0" w:space="0" w:color="auto"/>
        <w:right w:val="none" w:sz="0" w:space="0" w:color="auto"/>
      </w:divBdr>
    </w:div>
    <w:div w:id="1562792545">
      <w:bodyDiv w:val="1"/>
      <w:marLeft w:val="0"/>
      <w:marRight w:val="0"/>
      <w:marTop w:val="0"/>
      <w:marBottom w:val="0"/>
      <w:divBdr>
        <w:top w:val="none" w:sz="0" w:space="0" w:color="auto"/>
        <w:left w:val="none" w:sz="0" w:space="0" w:color="auto"/>
        <w:bottom w:val="none" w:sz="0" w:space="0" w:color="auto"/>
        <w:right w:val="none" w:sz="0" w:space="0" w:color="auto"/>
      </w:divBdr>
    </w:div>
    <w:div w:id="1710256900">
      <w:bodyDiv w:val="1"/>
      <w:marLeft w:val="0"/>
      <w:marRight w:val="0"/>
      <w:marTop w:val="0"/>
      <w:marBottom w:val="0"/>
      <w:divBdr>
        <w:top w:val="none" w:sz="0" w:space="0" w:color="auto"/>
        <w:left w:val="none" w:sz="0" w:space="0" w:color="auto"/>
        <w:bottom w:val="none" w:sz="0" w:space="0" w:color="auto"/>
        <w:right w:val="none" w:sz="0" w:space="0" w:color="auto"/>
      </w:divBdr>
    </w:div>
    <w:div w:id="1717781401">
      <w:bodyDiv w:val="1"/>
      <w:marLeft w:val="0"/>
      <w:marRight w:val="0"/>
      <w:marTop w:val="0"/>
      <w:marBottom w:val="0"/>
      <w:divBdr>
        <w:top w:val="none" w:sz="0" w:space="0" w:color="auto"/>
        <w:left w:val="none" w:sz="0" w:space="0" w:color="auto"/>
        <w:bottom w:val="none" w:sz="0" w:space="0" w:color="auto"/>
        <w:right w:val="none" w:sz="0" w:space="0" w:color="auto"/>
      </w:divBdr>
    </w:div>
    <w:div w:id="1749499708">
      <w:bodyDiv w:val="1"/>
      <w:marLeft w:val="0"/>
      <w:marRight w:val="0"/>
      <w:marTop w:val="0"/>
      <w:marBottom w:val="0"/>
      <w:divBdr>
        <w:top w:val="none" w:sz="0" w:space="0" w:color="auto"/>
        <w:left w:val="none" w:sz="0" w:space="0" w:color="auto"/>
        <w:bottom w:val="none" w:sz="0" w:space="0" w:color="auto"/>
        <w:right w:val="none" w:sz="0" w:space="0" w:color="auto"/>
      </w:divBdr>
    </w:div>
    <w:div w:id="1805733087">
      <w:bodyDiv w:val="1"/>
      <w:marLeft w:val="0"/>
      <w:marRight w:val="0"/>
      <w:marTop w:val="0"/>
      <w:marBottom w:val="0"/>
      <w:divBdr>
        <w:top w:val="none" w:sz="0" w:space="0" w:color="auto"/>
        <w:left w:val="none" w:sz="0" w:space="0" w:color="auto"/>
        <w:bottom w:val="none" w:sz="0" w:space="0" w:color="auto"/>
        <w:right w:val="none" w:sz="0" w:space="0" w:color="auto"/>
      </w:divBdr>
    </w:div>
    <w:div w:id="1924339193">
      <w:bodyDiv w:val="1"/>
      <w:marLeft w:val="0"/>
      <w:marRight w:val="0"/>
      <w:marTop w:val="0"/>
      <w:marBottom w:val="0"/>
      <w:divBdr>
        <w:top w:val="none" w:sz="0" w:space="0" w:color="auto"/>
        <w:left w:val="none" w:sz="0" w:space="0" w:color="auto"/>
        <w:bottom w:val="none" w:sz="0" w:space="0" w:color="auto"/>
        <w:right w:val="none" w:sz="0" w:space="0" w:color="auto"/>
      </w:divBdr>
    </w:div>
    <w:div w:id="1984649871">
      <w:bodyDiv w:val="1"/>
      <w:marLeft w:val="0"/>
      <w:marRight w:val="0"/>
      <w:marTop w:val="0"/>
      <w:marBottom w:val="0"/>
      <w:divBdr>
        <w:top w:val="none" w:sz="0" w:space="0" w:color="auto"/>
        <w:left w:val="none" w:sz="0" w:space="0" w:color="auto"/>
        <w:bottom w:val="none" w:sz="0" w:space="0" w:color="auto"/>
        <w:right w:val="none" w:sz="0" w:space="0" w:color="auto"/>
      </w:divBdr>
    </w:div>
    <w:div w:id="1997298946">
      <w:bodyDiv w:val="1"/>
      <w:marLeft w:val="0"/>
      <w:marRight w:val="0"/>
      <w:marTop w:val="0"/>
      <w:marBottom w:val="0"/>
      <w:divBdr>
        <w:top w:val="none" w:sz="0" w:space="0" w:color="auto"/>
        <w:left w:val="none" w:sz="0" w:space="0" w:color="auto"/>
        <w:bottom w:val="none" w:sz="0" w:space="0" w:color="auto"/>
        <w:right w:val="none" w:sz="0" w:space="0" w:color="auto"/>
      </w:divBdr>
    </w:div>
    <w:div w:id="20908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B296-0CCC-432A-BC36-127865C5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7725</Words>
  <Characters>44035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Title of Paper (14 pt Bold, Times, Title case)</vt:lpstr>
    </vt:vector>
  </TitlesOfParts>
  <Company>Institut Teknologi Bandung</Company>
  <LinksUpToDate>false</LinksUpToDate>
  <CharactersWithSpaces>51657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(14 pt Bold, Times, Title case)</dc:title>
  <dc:subject/>
  <dc:creator>Proceeding ITB</dc:creator>
  <cp:keywords/>
  <cp:lastModifiedBy>Sisfo LPPM ITB</cp:lastModifiedBy>
  <cp:revision>9</cp:revision>
  <cp:lastPrinted>2023-04-11T15:02:00Z</cp:lastPrinted>
  <dcterms:created xsi:type="dcterms:W3CDTF">2023-04-10T15:42:00Z</dcterms:created>
  <dcterms:modified xsi:type="dcterms:W3CDTF">2023-04-11T15:11:00Z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84261009-a615-347b-8494-3061e2d622ea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SIP_Label_38b525e5-f3da-4501-8f1e-526b6769fc56_Enabled">
    <vt:lpwstr>true</vt:lpwstr>
  </property>
  <property fmtid="{D5CDD505-2E9C-101B-9397-08002B2CF9AE}" pid="26" name="MSIP_Label_38b525e5-f3da-4501-8f1e-526b6769fc56_SetDate">
    <vt:lpwstr>2023-04-08T11:52:47Z</vt:lpwstr>
  </property>
  <property fmtid="{D5CDD505-2E9C-101B-9397-08002B2CF9AE}" pid="27" name="MSIP_Label_38b525e5-f3da-4501-8f1e-526b6769fc56_Method">
    <vt:lpwstr>Standard</vt:lpwstr>
  </property>
  <property fmtid="{D5CDD505-2E9C-101B-9397-08002B2CF9AE}" pid="28" name="MSIP_Label_38b525e5-f3da-4501-8f1e-526b6769fc56_Name">
    <vt:lpwstr>defa4170-0d19-0005-0004-bc88714345d2</vt:lpwstr>
  </property>
  <property fmtid="{D5CDD505-2E9C-101B-9397-08002B2CF9AE}" pid="29" name="MSIP_Label_38b525e5-f3da-4501-8f1e-526b6769fc56_SiteId">
    <vt:lpwstr>db6e1183-4c65-405c-82ce-7cd53fa6e9dc</vt:lpwstr>
  </property>
  <property fmtid="{D5CDD505-2E9C-101B-9397-08002B2CF9AE}" pid="30" name="MSIP_Label_38b525e5-f3da-4501-8f1e-526b6769fc56_ActionId">
    <vt:lpwstr>c6af3bed-6aa7-4500-84a4-30726202da15</vt:lpwstr>
  </property>
  <property fmtid="{D5CDD505-2E9C-101B-9397-08002B2CF9AE}" pid="31" name="MSIP_Label_38b525e5-f3da-4501-8f1e-526b6769fc56_ContentBits">
    <vt:lpwstr>0</vt:lpwstr>
  </property>
</Properties>
</file>